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34E23" w14:textId="548D176E" w:rsidR="000E3A9C" w:rsidRDefault="00C84A31" w:rsidP="00512952">
      <w:pPr>
        <w:ind w:right="237"/>
        <w:rPr>
          <w:b/>
          <w:color w:val="632423" w:themeColor="accent2" w:themeShade="80"/>
          <w:sz w:val="36"/>
          <w:szCs w:val="36"/>
        </w:rPr>
      </w:pPr>
      <w:r>
        <w:rPr>
          <w:noProof/>
          <w:lang w:eastAsia="en-GB"/>
        </w:rPr>
        <w:drawing>
          <wp:inline distT="0" distB="0" distL="0" distR="0" wp14:anchorId="6C26122A" wp14:editId="0B93C62E">
            <wp:extent cx="34575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p w14:paraId="43C8BEF6" w14:textId="0752C1B5" w:rsidR="00C84A31" w:rsidRDefault="00C84A31" w:rsidP="00512952">
      <w:pPr>
        <w:ind w:right="237"/>
        <w:rPr>
          <w:b/>
          <w:color w:val="632423" w:themeColor="accent2" w:themeShade="80"/>
          <w:sz w:val="36"/>
          <w:szCs w:val="36"/>
        </w:rPr>
      </w:pPr>
    </w:p>
    <w:p w14:paraId="0CDDE42B" w14:textId="77777777" w:rsidR="00C84A31" w:rsidRDefault="00C84A31" w:rsidP="00512952">
      <w:pPr>
        <w:ind w:right="237"/>
        <w:rPr>
          <w:b/>
          <w:color w:val="632423" w:themeColor="accent2" w:themeShade="80"/>
          <w:sz w:val="36"/>
          <w:szCs w:val="36"/>
        </w:rPr>
      </w:pPr>
    </w:p>
    <w:p w14:paraId="0A44CEA9" w14:textId="5209538B" w:rsidR="00024BA5" w:rsidRPr="00024BA5" w:rsidRDefault="00F31D6F" w:rsidP="00512952">
      <w:pPr>
        <w:spacing w:before="100" w:beforeAutospacing="1" w:after="100" w:afterAutospacing="1"/>
        <w:ind w:right="237"/>
        <w:jc w:val="center"/>
        <w:rPr>
          <w:rFonts w:ascii="Arial Narrow" w:eastAsia="Times New Roman" w:hAnsi="Arial Narrow" w:cs="Arial"/>
          <w:color w:val="632423" w:themeColor="accent2" w:themeShade="80"/>
          <w:sz w:val="48"/>
          <w:szCs w:val="48"/>
          <w:lang w:eastAsia="en-GB"/>
        </w:rPr>
      </w:pPr>
      <w:r>
        <w:rPr>
          <w:rFonts w:ascii="Calibri" w:eastAsia="Times New Roman" w:hAnsi="Calibri" w:cs="Calibri"/>
          <w:b/>
          <w:bCs/>
          <w:color w:val="870000"/>
          <w:spacing w:val="-6"/>
          <w:sz w:val="38"/>
          <w:szCs w:val="38"/>
          <w:bdr w:val="none" w:sz="0" w:space="0" w:color="auto" w:frame="1"/>
          <w:lang w:eastAsia="en-GB"/>
        </w:rPr>
        <w:t xml:space="preserve">Court of Appeal resets </w:t>
      </w:r>
      <w:r w:rsidR="00F505FA">
        <w:rPr>
          <w:rFonts w:ascii="Calibri" w:eastAsia="Times New Roman" w:hAnsi="Calibri" w:cs="Calibri"/>
          <w:b/>
          <w:bCs/>
          <w:color w:val="870000"/>
          <w:spacing w:val="-6"/>
          <w:sz w:val="38"/>
          <w:szCs w:val="38"/>
          <w:bdr w:val="none" w:sz="0" w:space="0" w:color="auto" w:frame="1"/>
          <w:lang w:eastAsia="en-GB"/>
        </w:rPr>
        <w:t xml:space="preserve">bar for </w:t>
      </w:r>
      <w:r>
        <w:rPr>
          <w:rFonts w:ascii="Calibri" w:eastAsia="Times New Roman" w:hAnsi="Calibri" w:cs="Calibri"/>
          <w:b/>
          <w:bCs/>
          <w:color w:val="870000"/>
          <w:spacing w:val="-6"/>
          <w:sz w:val="38"/>
          <w:szCs w:val="38"/>
          <w:bdr w:val="none" w:sz="0" w:space="0" w:color="auto" w:frame="1"/>
          <w:lang w:eastAsia="en-GB"/>
        </w:rPr>
        <w:t xml:space="preserve">UK </w:t>
      </w:r>
      <w:r w:rsidR="00024BA5" w:rsidRPr="00024BA5">
        <w:rPr>
          <w:rFonts w:ascii="Calibri" w:eastAsia="Times New Roman" w:hAnsi="Calibri" w:cs="Calibri"/>
          <w:b/>
          <w:bCs/>
          <w:color w:val="870000"/>
          <w:spacing w:val="-6"/>
          <w:sz w:val="38"/>
          <w:szCs w:val="38"/>
          <w:bdr w:val="none" w:sz="0" w:space="0" w:color="auto" w:frame="1"/>
          <w:lang w:eastAsia="en-GB"/>
        </w:rPr>
        <w:t xml:space="preserve">collective </w:t>
      </w:r>
      <w:r>
        <w:rPr>
          <w:rFonts w:ascii="Calibri" w:eastAsia="Times New Roman" w:hAnsi="Calibri" w:cs="Calibri"/>
          <w:b/>
          <w:bCs/>
          <w:color w:val="870000"/>
          <w:spacing w:val="-6"/>
          <w:sz w:val="38"/>
          <w:szCs w:val="38"/>
          <w:bdr w:val="none" w:sz="0" w:space="0" w:color="auto" w:frame="1"/>
          <w:lang w:eastAsia="en-GB"/>
        </w:rPr>
        <w:t xml:space="preserve">certification in </w:t>
      </w:r>
      <w:r w:rsidRPr="00714763">
        <w:rPr>
          <w:rFonts w:ascii="Calibri" w:eastAsia="Times New Roman" w:hAnsi="Calibri" w:cs="Calibri"/>
          <w:b/>
          <w:bCs/>
          <w:i/>
          <w:iCs/>
          <w:color w:val="870000"/>
          <w:spacing w:val="-6"/>
          <w:sz w:val="38"/>
          <w:szCs w:val="38"/>
          <w:bdr w:val="none" w:sz="0" w:space="0" w:color="auto" w:frame="1"/>
          <w:lang w:eastAsia="en-GB"/>
        </w:rPr>
        <w:t xml:space="preserve">Merricks </w:t>
      </w:r>
      <w:r>
        <w:rPr>
          <w:rFonts w:ascii="Calibri" w:eastAsia="Times New Roman" w:hAnsi="Calibri" w:cs="Calibri"/>
          <w:b/>
          <w:bCs/>
          <w:color w:val="870000"/>
          <w:spacing w:val="-6"/>
          <w:sz w:val="38"/>
          <w:szCs w:val="38"/>
          <w:bdr w:val="none" w:sz="0" w:space="0" w:color="auto" w:frame="1"/>
          <w:lang w:eastAsia="en-GB"/>
        </w:rPr>
        <w:t>appeal against MasterCard</w:t>
      </w:r>
      <w:r w:rsidR="00024BA5" w:rsidRPr="00024BA5">
        <w:rPr>
          <w:rFonts w:ascii="Times New Roman" w:eastAsia="Times New Roman" w:hAnsi="Times New Roman" w:cs="Arial"/>
          <w:b/>
          <w:bCs/>
          <w:color w:val="870000"/>
          <w:spacing w:val="-6"/>
          <w:sz w:val="38"/>
          <w:szCs w:val="38"/>
          <w:bdr w:val="none" w:sz="0" w:space="0" w:color="auto" w:frame="1"/>
          <w:lang w:eastAsia="en-GB"/>
        </w:rPr>
        <w:t xml:space="preserve">   </w:t>
      </w:r>
    </w:p>
    <w:p w14:paraId="4FA820FF" w14:textId="24D5B9CE" w:rsidR="00581D4E" w:rsidRDefault="00581D4E" w:rsidP="00512952">
      <w:pPr>
        <w:shd w:val="clear" w:color="auto" w:fill="FFFFFF"/>
        <w:spacing w:after="160" w:line="240" w:lineRule="auto"/>
        <w:ind w:right="237"/>
        <w:textAlignment w:val="baseline"/>
        <w:outlineLvl w:val="3"/>
        <w:rPr>
          <w:rFonts w:ascii="Calibri" w:eastAsia="Times New Roman" w:hAnsi="Calibri" w:cs="Calibri"/>
          <w:color w:val="333333"/>
          <w:spacing w:val="-6"/>
          <w:sz w:val="27"/>
          <w:szCs w:val="27"/>
          <w:bdr w:val="none" w:sz="0" w:space="0" w:color="auto" w:frame="1"/>
          <w:lang w:eastAsia="en-GB"/>
        </w:rPr>
      </w:pPr>
    </w:p>
    <w:p w14:paraId="3645E3B6" w14:textId="3B1F0166" w:rsidR="00581D4E" w:rsidRPr="00FB4844" w:rsidRDefault="00581D4E" w:rsidP="00512952">
      <w:pPr>
        <w:shd w:val="clear" w:color="auto" w:fill="FFFFFF"/>
        <w:spacing w:after="160" w:line="240" w:lineRule="auto"/>
        <w:ind w:right="237"/>
        <w:jc w:val="center"/>
        <w:textAlignment w:val="baseline"/>
        <w:outlineLvl w:val="3"/>
        <w:rPr>
          <w:rFonts w:ascii="Calibri" w:eastAsia="Times New Roman" w:hAnsi="Calibri" w:cs="Calibri"/>
          <w:b/>
          <w:color w:val="870000"/>
          <w:spacing w:val="-6"/>
          <w:sz w:val="27"/>
          <w:szCs w:val="27"/>
          <w:bdr w:val="none" w:sz="0" w:space="0" w:color="auto" w:frame="1"/>
          <w:lang w:eastAsia="en-GB"/>
        </w:rPr>
      </w:pPr>
      <w:r w:rsidRPr="00FB4844">
        <w:rPr>
          <w:rFonts w:ascii="Calibri" w:eastAsia="Times New Roman" w:hAnsi="Calibri" w:cs="Calibri"/>
          <w:b/>
          <w:color w:val="870000"/>
          <w:spacing w:val="-6"/>
          <w:sz w:val="27"/>
          <w:szCs w:val="27"/>
          <w:bdr w:val="none" w:sz="0" w:space="0" w:color="auto" w:frame="1"/>
          <w:lang w:eastAsia="en-GB"/>
        </w:rPr>
        <w:t>Cento Veljanovski</w:t>
      </w:r>
      <w:r w:rsidR="00E77CE6">
        <w:rPr>
          <w:rFonts w:ascii="Calibri" w:eastAsia="Times New Roman" w:hAnsi="Calibri" w:cs="Calibri"/>
          <w:b/>
          <w:color w:val="870000"/>
          <w:spacing w:val="-6"/>
          <w:sz w:val="27"/>
          <w:szCs w:val="27"/>
          <w:bdr w:val="none" w:sz="0" w:space="0" w:color="auto" w:frame="1"/>
          <w:lang w:eastAsia="en-GB"/>
        </w:rPr>
        <w:t>*</w:t>
      </w:r>
    </w:p>
    <w:p w14:paraId="1D288FED" w14:textId="77777777" w:rsidR="00581D4E" w:rsidRDefault="00581D4E" w:rsidP="00512952">
      <w:pPr>
        <w:shd w:val="clear" w:color="auto" w:fill="FFFFFF"/>
        <w:spacing w:after="160" w:line="240" w:lineRule="auto"/>
        <w:ind w:right="237"/>
        <w:textAlignment w:val="baseline"/>
        <w:outlineLvl w:val="3"/>
        <w:rPr>
          <w:rFonts w:ascii="Calibri" w:eastAsia="Times New Roman" w:hAnsi="Calibri" w:cs="Calibri"/>
          <w:color w:val="333333"/>
          <w:spacing w:val="-6"/>
          <w:sz w:val="27"/>
          <w:szCs w:val="27"/>
          <w:bdr w:val="none" w:sz="0" w:space="0" w:color="auto" w:frame="1"/>
          <w:lang w:eastAsia="en-GB"/>
        </w:rPr>
      </w:pPr>
    </w:p>
    <w:p w14:paraId="2E8662D2" w14:textId="77777777" w:rsidR="00581D4E" w:rsidRDefault="00581D4E" w:rsidP="00512952">
      <w:pPr>
        <w:shd w:val="clear" w:color="auto" w:fill="FFFFFF"/>
        <w:spacing w:after="160" w:line="240" w:lineRule="auto"/>
        <w:ind w:right="237"/>
        <w:textAlignment w:val="baseline"/>
        <w:outlineLvl w:val="3"/>
        <w:rPr>
          <w:rFonts w:ascii="Calibri" w:eastAsia="Times New Roman" w:hAnsi="Calibri" w:cs="Calibri"/>
          <w:color w:val="333333"/>
          <w:spacing w:val="-6"/>
          <w:sz w:val="27"/>
          <w:szCs w:val="27"/>
          <w:bdr w:val="none" w:sz="0" w:space="0" w:color="auto" w:frame="1"/>
          <w:lang w:eastAsia="en-GB"/>
        </w:rPr>
      </w:pPr>
    </w:p>
    <w:p w14:paraId="67BEFBFB" w14:textId="77777777" w:rsidR="00581D4E" w:rsidRDefault="00581D4E" w:rsidP="00512952">
      <w:pPr>
        <w:shd w:val="clear" w:color="auto" w:fill="FFFFFF"/>
        <w:spacing w:after="160" w:line="240" w:lineRule="auto"/>
        <w:ind w:right="237"/>
        <w:textAlignment w:val="baseline"/>
        <w:outlineLvl w:val="3"/>
        <w:rPr>
          <w:rFonts w:ascii="Calibri" w:eastAsia="Times New Roman" w:hAnsi="Calibri" w:cs="Calibri"/>
          <w:color w:val="333333"/>
          <w:spacing w:val="-6"/>
          <w:sz w:val="27"/>
          <w:szCs w:val="27"/>
          <w:bdr w:val="none" w:sz="0" w:space="0" w:color="auto" w:frame="1"/>
          <w:lang w:eastAsia="en-GB"/>
        </w:rPr>
      </w:pPr>
    </w:p>
    <w:p w14:paraId="18354234" w14:textId="77777777" w:rsidR="00512952" w:rsidRDefault="00024BA5" w:rsidP="00512952">
      <w:pPr>
        <w:shd w:val="clear" w:color="auto" w:fill="FFFFFF"/>
        <w:spacing w:after="160"/>
        <w:ind w:right="237"/>
        <w:jc w:val="both"/>
        <w:textAlignment w:val="baseline"/>
        <w:outlineLvl w:val="3"/>
        <w:rPr>
          <w:rFonts w:eastAsia="Times New Roman" w:cstheme="minorHAnsi"/>
          <w:color w:val="333333"/>
          <w:spacing w:val="-6"/>
          <w:sz w:val="24"/>
          <w:szCs w:val="24"/>
          <w:bdr w:val="none" w:sz="0" w:space="0" w:color="auto" w:frame="1"/>
          <w:lang w:eastAsia="en-GB"/>
        </w:rPr>
      </w:pPr>
      <w:bookmarkStart w:id="0" w:name="_Hlk8493665"/>
      <w:r w:rsidRPr="00024BA5">
        <w:rPr>
          <w:rFonts w:eastAsia="Times New Roman" w:cstheme="minorHAnsi"/>
          <w:color w:val="333333"/>
          <w:spacing w:val="-6"/>
          <w:sz w:val="24"/>
          <w:szCs w:val="24"/>
          <w:bdr w:val="none" w:sz="0" w:space="0" w:color="auto" w:frame="1"/>
          <w:lang w:eastAsia="en-GB"/>
        </w:rPr>
        <w:t>In a landmark judgment delivered on 16 April 2019 the English Court of Appeal</w:t>
      </w:r>
      <w:r w:rsidR="000968FC" w:rsidRPr="00FB4844">
        <w:rPr>
          <w:rStyle w:val="FootnoteReference"/>
          <w:rFonts w:eastAsia="Times New Roman" w:cstheme="minorHAnsi"/>
          <w:color w:val="333333"/>
          <w:spacing w:val="-6"/>
          <w:sz w:val="24"/>
          <w:szCs w:val="24"/>
          <w:bdr w:val="none" w:sz="0" w:space="0" w:color="auto" w:frame="1"/>
          <w:lang w:eastAsia="en-GB"/>
        </w:rPr>
        <w:footnoteReference w:id="1"/>
      </w:r>
      <w:r w:rsidR="000968FC">
        <w:rPr>
          <w:rFonts w:eastAsia="Times New Roman" w:cstheme="minorHAnsi"/>
          <w:color w:val="333333"/>
          <w:spacing w:val="-6"/>
          <w:sz w:val="24"/>
          <w:szCs w:val="24"/>
          <w:bdr w:val="none" w:sz="0" w:space="0" w:color="auto" w:frame="1"/>
          <w:lang w:eastAsia="en-GB"/>
        </w:rPr>
        <w:t xml:space="preserve"> </w:t>
      </w:r>
      <w:r w:rsidR="000968FC" w:rsidRPr="00024BA5">
        <w:rPr>
          <w:rFonts w:eastAsia="Times New Roman" w:cstheme="minorHAnsi"/>
          <w:color w:val="333333"/>
          <w:spacing w:val="-6"/>
          <w:sz w:val="24"/>
          <w:szCs w:val="24"/>
          <w:bdr w:val="none" w:sz="0" w:space="0" w:color="auto" w:frame="1"/>
          <w:lang w:eastAsia="en-GB"/>
        </w:rPr>
        <w:t>set aside the Competition Appeal Tribunal's (CAT) order refusing certification of the class representative Mr Merricks' £14 billion damages claim against MasterCard for charging excessive interchange fees.</w:t>
      </w:r>
      <w:r w:rsidR="000968FC" w:rsidRPr="00FB4844">
        <w:rPr>
          <w:rStyle w:val="FootnoteReference"/>
          <w:rFonts w:cstheme="minorHAnsi"/>
          <w:i/>
          <w:sz w:val="24"/>
          <w:szCs w:val="24"/>
        </w:rPr>
        <w:footnoteReference w:id="2"/>
      </w:r>
      <w:r w:rsidR="000968FC" w:rsidRPr="00024BA5">
        <w:rPr>
          <w:rFonts w:eastAsia="Times New Roman" w:cstheme="minorHAnsi"/>
          <w:color w:val="333333"/>
          <w:spacing w:val="-6"/>
          <w:sz w:val="24"/>
          <w:szCs w:val="24"/>
          <w:bdr w:val="none" w:sz="0" w:space="0" w:color="auto" w:frame="1"/>
          <w:lang w:eastAsia="en-GB"/>
        </w:rPr>
        <w:t xml:space="preserve"> </w:t>
      </w:r>
    </w:p>
    <w:p w14:paraId="0CB8EC89" w14:textId="5AF46D2B" w:rsidR="000968FC" w:rsidRPr="00024BA5" w:rsidRDefault="000968FC" w:rsidP="00512952">
      <w:pPr>
        <w:shd w:val="clear" w:color="auto" w:fill="FFFFFF"/>
        <w:spacing w:after="160"/>
        <w:ind w:right="237"/>
        <w:jc w:val="both"/>
        <w:textAlignment w:val="baseline"/>
        <w:outlineLvl w:val="3"/>
        <w:rPr>
          <w:rFonts w:eastAsia="Times New Roman" w:cstheme="minorHAnsi"/>
          <w:color w:val="632423" w:themeColor="accent2" w:themeShade="80"/>
          <w:sz w:val="24"/>
          <w:szCs w:val="24"/>
          <w:lang w:eastAsia="en-GB"/>
        </w:rPr>
      </w:pPr>
      <w:r w:rsidRPr="00024BA5">
        <w:rPr>
          <w:rFonts w:eastAsia="Times New Roman" w:cstheme="minorHAnsi"/>
          <w:color w:val="333333"/>
          <w:spacing w:val="-6"/>
          <w:sz w:val="24"/>
          <w:szCs w:val="24"/>
          <w:bdr w:val="none" w:sz="0" w:space="0" w:color="auto" w:frame="1"/>
          <w:lang w:eastAsia="en-GB"/>
        </w:rPr>
        <w:t>Mr Merricks' </w:t>
      </w:r>
      <w:r>
        <w:rPr>
          <w:rFonts w:eastAsia="Times New Roman" w:cstheme="minorHAnsi"/>
          <w:color w:val="333333"/>
          <w:spacing w:val="-6"/>
          <w:sz w:val="24"/>
          <w:szCs w:val="24"/>
          <w:bdr w:val="none" w:sz="0" w:space="0" w:color="auto" w:frame="1"/>
          <w:lang w:eastAsia="en-GB"/>
        </w:rPr>
        <w:t xml:space="preserve">application for a </w:t>
      </w:r>
      <w:r w:rsidRPr="00024BA5">
        <w:rPr>
          <w:rFonts w:eastAsia="Times New Roman" w:cstheme="minorHAnsi"/>
          <w:color w:val="333333"/>
          <w:spacing w:val="-6"/>
          <w:sz w:val="24"/>
          <w:szCs w:val="24"/>
          <w:bdr w:val="none" w:sz="0" w:space="0" w:color="auto" w:frame="1"/>
          <w:lang w:eastAsia="en-GB"/>
        </w:rPr>
        <w:t>collective proceeding order (CPO) was remitted to the CAT to be reheard, but given the judgment there is no reason why it will not be granted. </w:t>
      </w:r>
      <w:r w:rsidRPr="00FB4844">
        <w:rPr>
          <w:rFonts w:eastAsia="Times New Roman" w:cstheme="minorHAnsi"/>
          <w:color w:val="333333"/>
          <w:spacing w:val="-6"/>
          <w:sz w:val="24"/>
          <w:szCs w:val="24"/>
          <w:bdr w:val="none" w:sz="0" w:space="0" w:color="auto" w:frame="1"/>
          <w:lang w:eastAsia="en-GB"/>
        </w:rPr>
        <w:t xml:space="preserve"> Mastercard was refused leave to appeal but </w:t>
      </w:r>
      <w:r w:rsidR="00D95C27">
        <w:rPr>
          <w:rFonts w:eastAsia="Times New Roman" w:cstheme="minorHAnsi"/>
          <w:color w:val="333333"/>
          <w:spacing w:val="-6"/>
          <w:sz w:val="24"/>
          <w:szCs w:val="24"/>
          <w:bdr w:val="none" w:sz="0" w:space="0" w:color="auto" w:frame="1"/>
          <w:lang w:eastAsia="en-GB"/>
        </w:rPr>
        <w:t xml:space="preserve">this was granted on applicant to </w:t>
      </w:r>
      <w:r w:rsidRPr="00FB4844">
        <w:rPr>
          <w:rFonts w:eastAsia="Times New Roman" w:cstheme="minorHAnsi"/>
          <w:color w:val="333333"/>
          <w:spacing w:val="-6"/>
          <w:sz w:val="24"/>
          <w:szCs w:val="24"/>
          <w:bdr w:val="none" w:sz="0" w:space="0" w:color="auto" w:frame="1"/>
          <w:lang w:eastAsia="en-GB"/>
        </w:rPr>
        <w:t>the Supreme Court</w:t>
      </w:r>
      <w:r w:rsidR="00D95C27">
        <w:rPr>
          <w:rFonts w:eastAsia="Times New Roman" w:cstheme="minorHAnsi"/>
          <w:color w:val="333333"/>
          <w:spacing w:val="-6"/>
          <w:sz w:val="24"/>
          <w:szCs w:val="24"/>
          <w:bdr w:val="none" w:sz="0" w:space="0" w:color="auto" w:frame="1"/>
          <w:lang w:eastAsia="en-GB"/>
        </w:rPr>
        <w:t xml:space="preserve"> and will probably be heard in </w:t>
      </w:r>
      <w:r w:rsidR="003B7DC1">
        <w:rPr>
          <w:rFonts w:eastAsia="Times New Roman" w:cstheme="minorHAnsi"/>
          <w:color w:val="333333"/>
          <w:spacing w:val="-6"/>
          <w:sz w:val="24"/>
          <w:szCs w:val="24"/>
          <w:bdr w:val="none" w:sz="0" w:space="0" w:color="auto" w:frame="1"/>
          <w:lang w:eastAsia="en-GB"/>
        </w:rPr>
        <w:t>mid-</w:t>
      </w:r>
      <w:r w:rsidR="00D95C27">
        <w:rPr>
          <w:rFonts w:eastAsia="Times New Roman" w:cstheme="minorHAnsi"/>
          <w:color w:val="333333"/>
          <w:spacing w:val="-6"/>
          <w:sz w:val="24"/>
          <w:szCs w:val="24"/>
          <w:bdr w:val="none" w:sz="0" w:space="0" w:color="auto" w:frame="1"/>
          <w:lang w:eastAsia="en-GB"/>
        </w:rPr>
        <w:t>2020.</w:t>
      </w:r>
    </w:p>
    <w:p w14:paraId="72D3CD0E" w14:textId="5F76C918" w:rsidR="000968FC" w:rsidRPr="00FB4844" w:rsidRDefault="000968FC" w:rsidP="00512952">
      <w:pPr>
        <w:shd w:val="clear" w:color="auto" w:fill="FFFFFF"/>
        <w:spacing w:after="160" w:line="240" w:lineRule="auto"/>
        <w:ind w:right="237"/>
        <w:jc w:val="both"/>
        <w:textAlignment w:val="baseline"/>
        <w:outlineLvl w:val="3"/>
        <w:rPr>
          <w:rFonts w:eastAsia="Times New Roman" w:cstheme="minorHAnsi"/>
          <w:color w:val="333333"/>
          <w:spacing w:val="-6"/>
          <w:sz w:val="24"/>
          <w:szCs w:val="24"/>
          <w:bdr w:val="none" w:sz="0" w:space="0" w:color="auto" w:frame="1"/>
          <w:lang w:eastAsia="en-GB"/>
        </w:rPr>
      </w:pPr>
      <w:r>
        <w:rPr>
          <w:rFonts w:eastAsia="Times New Roman" w:cstheme="minorHAnsi"/>
          <w:color w:val="333333"/>
          <w:spacing w:val="-6"/>
          <w:sz w:val="24"/>
          <w:szCs w:val="24"/>
          <w:bdr w:val="none" w:sz="0" w:space="0" w:color="auto" w:frame="1"/>
          <w:lang w:eastAsia="en-GB"/>
        </w:rPr>
        <w:t xml:space="preserve">The Court of Appeal lowered the bar for certification.  It has also endorsed </w:t>
      </w:r>
      <w:r w:rsidRPr="00024BA5">
        <w:rPr>
          <w:rFonts w:eastAsia="Times New Roman" w:cstheme="minorHAnsi"/>
          <w:color w:val="333333"/>
          <w:spacing w:val="-6"/>
          <w:sz w:val="24"/>
          <w:szCs w:val="24"/>
          <w:bdr w:val="none" w:sz="0" w:space="0" w:color="auto" w:frame="1"/>
          <w:lang w:eastAsia="en-GB"/>
        </w:rPr>
        <w:t>the approach and the methodology set out in the expert report of Cento Veljanovski</w:t>
      </w:r>
      <w:r>
        <w:rPr>
          <w:rFonts w:eastAsia="Times New Roman" w:cstheme="minorHAnsi"/>
          <w:color w:val="333333"/>
          <w:spacing w:val="-6"/>
          <w:sz w:val="24"/>
          <w:szCs w:val="24"/>
          <w:bdr w:val="none" w:sz="0" w:space="0" w:color="auto" w:frame="1"/>
          <w:lang w:eastAsia="en-GB"/>
        </w:rPr>
        <w:t xml:space="preserve"> </w:t>
      </w:r>
      <w:r w:rsidRPr="00FB4844">
        <w:rPr>
          <w:rFonts w:eastAsia="Times New Roman" w:cstheme="minorHAnsi"/>
          <w:color w:val="333333"/>
          <w:spacing w:val="-6"/>
          <w:sz w:val="24"/>
          <w:szCs w:val="24"/>
          <w:bdr w:val="none" w:sz="0" w:space="0" w:color="auto" w:frame="1"/>
          <w:lang w:eastAsia="en-GB"/>
        </w:rPr>
        <w:t>and David Dearman</w:t>
      </w:r>
      <w:r>
        <w:rPr>
          <w:rFonts w:eastAsia="Times New Roman" w:cstheme="minorHAnsi"/>
          <w:color w:val="333333"/>
          <w:spacing w:val="-6"/>
          <w:sz w:val="24"/>
          <w:szCs w:val="24"/>
          <w:bdr w:val="none" w:sz="0" w:space="0" w:color="auto" w:frame="1"/>
          <w:lang w:eastAsia="en-GB"/>
        </w:rPr>
        <w:t xml:space="preserve"> which was central to the certification application</w:t>
      </w:r>
      <w:r w:rsidRPr="00024BA5">
        <w:rPr>
          <w:rFonts w:eastAsia="Times New Roman" w:cstheme="minorHAnsi"/>
          <w:color w:val="333333"/>
          <w:spacing w:val="-6"/>
          <w:sz w:val="24"/>
          <w:szCs w:val="24"/>
          <w:bdr w:val="none" w:sz="0" w:space="0" w:color="auto" w:frame="1"/>
          <w:lang w:eastAsia="en-GB"/>
        </w:rPr>
        <w:t xml:space="preserve">. </w:t>
      </w:r>
    </w:p>
    <w:p w14:paraId="2D56EDA8" w14:textId="41D7D2BB" w:rsidR="000968FC" w:rsidRPr="00024BA5" w:rsidRDefault="000968FC" w:rsidP="00512952">
      <w:pPr>
        <w:shd w:val="clear" w:color="auto" w:fill="FFFFFF"/>
        <w:spacing w:after="160" w:line="240" w:lineRule="auto"/>
        <w:ind w:right="237"/>
        <w:jc w:val="both"/>
        <w:textAlignment w:val="baseline"/>
        <w:outlineLvl w:val="3"/>
        <w:rPr>
          <w:rFonts w:eastAsia="Times New Roman" w:cstheme="minorHAnsi"/>
          <w:color w:val="632423" w:themeColor="accent2" w:themeShade="80"/>
          <w:sz w:val="24"/>
          <w:szCs w:val="24"/>
          <w:lang w:eastAsia="en-GB"/>
        </w:rPr>
      </w:pPr>
      <w:r w:rsidRPr="00FB4844">
        <w:rPr>
          <w:rFonts w:eastAsia="Times New Roman" w:cstheme="minorHAnsi"/>
          <w:color w:val="333333"/>
          <w:spacing w:val="-6"/>
          <w:sz w:val="24"/>
          <w:szCs w:val="24"/>
          <w:bdr w:val="none" w:sz="0" w:space="0" w:color="auto" w:frame="1"/>
          <w:lang w:eastAsia="en-GB"/>
        </w:rPr>
        <w:t xml:space="preserve">The Court of Appeal ruled against the </w:t>
      </w:r>
      <w:r>
        <w:rPr>
          <w:rFonts w:eastAsia="Times New Roman" w:cstheme="minorHAnsi"/>
          <w:color w:val="333333"/>
          <w:spacing w:val="-6"/>
          <w:sz w:val="24"/>
          <w:szCs w:val="24"/>
          <w:bdr w:val="none" w:sz="0" w:space="0" w:color="auto" w:frame="1"/>
          <w:lang w:eastAsia="en-GB"/>
        </w:rPr>
        <w:t xml:space="preserve">CAT’s </w:t>
      </w:r>
      <w:r w:rsidRPr="00FB4844">
        <w:rPr>
          <w:rFonts w:eastAsia="Times New Roman" w:cstheme="minorHAnsi"/>
          <w:color w:val="333333"/>
          <w:spacing w:val="-6"/>
          <w:sz w:val="24"/>
          <w:szCs w:val="24"/>
          <w:bdr w:val="none" w:sz="0" w:space="0" w:color="auto" w:frame="1"/>
          <w:lang w:eastAsia="en-GB"/>
        </w:rPr>
        <w:t xml:space="preserve">entire interpretation and application of </w:t>
      </w:r>
      <w:r>
        <w:rPr>
          <w:rFonts w:eastAsia="Times New Roman" w:cstheme="minorHAnsi"/>
          <w:color w:val="333333"/>
          <w:spacing w:val="-6"/>
          <w:sz w:val="24"/>
          <w:szCs w:val="24"/>
          <w:bdr w:val="none" w:sz="0" w:space="0" w:color="auto" w:frame="1"/>
          <w:lang w:eastAsia="en-GB"/>
        </w:rPr>
        <w:t xml:space="preserve">the CPO rules. It </w:t>
      </w:r>
      <w:r w:rsidRPr="00024BA5">
        <w:rPr>
          <w:rFonts w:eastAsia="Times New Roman" w:cstheme="minorHAnsi"/>
          <w:color w:val="333333"/>
          <w:spacing w:val="-6"/>
          <w:sz w:val="24"/>
          <w:szCs w:val="24"/>
          <w:bdr w:val="none" w:sz="0" w:space="0" w:color="auto" w:frame="1"/>
          <w:lang w:eastAsia="en-GB"/>
        </w:rPr>
        <w:t>held that:</w:t>
      </w:r>
    </w:p>
    <w:p w14:paraId="7AE80E1C" w14:textId="77777777" w:rsidR="000968FC" w:rsidRPr="00024BA5" w:rsidRDefault="000968FC" w:rsidP="00512952">
      <w:pPr>
        <w:numPr>
          <w:ilvl w:val="0"/>
          <w:numId w:val="14"/>
        </w:numPr>
        <w:shd w:val="clear" w:color="auto" w:fill="FFFFFF"/>
        <w:spacing w:after="240" w:line="336" w:lineRule="atLeast"/>
        <w:ind w:right="237"/>
        <w:jc w:val="both"/>
        <w:textAlignment w:val="baseline"/>
        <w:outlineLvl w:val="3"/>
        <w:rPr>
          <w:rFonts w:eastAsia="Times New Roman" w:cstheme="minorHAnsi"/>
          <w:color w:val="333333"/>
          <w:spacing w:val="-6"/>
          <w:sz w:val="24"/>
          <w:szCs w:val="24"/>
          <w:bdr w:val="none" w:sz="0" w:space="0" w:color="auto" w:frame="1"/>
          <w:lang w:eastAsia="en-GB"/>
        </w:rPr>
      </w:pPr>
      <w:r w:rsidRPr="00024BA5">
        <w:rPr>
          <w:rFonts w:eastAsia="Times New Roman" w:cstheme="minorHAnsi"/>
          <w:color w:val="333333"/>
          <w:spacing w:val="-6"/>
          <w:sz w:val="24"/>
          <w:szCs w:val="24"/>
          <w:bdr w:val="none" w:sz="0" w:space="0" w:color="auto" w:frame="1"/>
          <w:lang w:eastAsia="en-GB"/>
        </w:rPr>
        <w:t> 'the function of the Tribunal at the certification stage is to be satisfied that the proposed methodology is capable of or offers a realistic prospect of establishing loss to the class.'</w:t>
      </w:r>
    </w:p>
    <w:p w14:paraId="6D0AC794" w14:textId="68BF4394" w:rsidR="000968FC" w:rsidRPr="00FB4844" w:rsidRDefault="000968FC" w:rsidP="00512952">
      <w:pPr>
        <w:numPr>
          <w:ilvl w:val="0"/>
          <w:numId w:val="14"/>
        </w:numPr>
        <w:shd w:val="clear" w:color="auto" w:fill="FFFFFF"/>
        <w:spacing w:after="240" w:line="336" w:lineRule="atLeast"/>
        <w:ind w:right="237"/>
        <w:jc w:val="both"/>
        <w:textAlignment w:val="baseline"/>
        <w:outlineLvl w:val="3"/>
        <w:rPr>
          <w:rFonts w:eastAsia="Times New Roman" w:cstheme="minorHAnsi"/>
          <w:color w:val="632423" w:themeColor="accent2" w:themeShade="80"/>
          <w:sz w:val="24"/>
          <w:szCs w:val="24"/>
          <w:lang w:eastAsia="en-GB"/>
        </w:rPr>
      </w:pPr>
      <w:r>
        <w:rPr>
          <w:rFonts w:eastAsia="Times New Roman" w:cstheme="minorHAnsi"/>
          <w:color w:val="333333"/>
          <w:spacing w:val="-6"/>
          <w:sz w:val="24"/>
          <w:szCs w:val="24"/>
          <w:bdr w:val="none" w:sz="0" w:space="0" w:color="auto" w:frame="1"/>
          <w:lang w:eastAsia="en-GB"/>
        </w:rPr>
        <w:lastRenderedPageBreak/>
        <w:t>P</w:t>
      </w:r>
      <w:r w:rsidRPr="00FB4844">
        <w:rPr>
          <w:rFonts w:eastAsia="Times New Roman" w:cstheme="minorHAnsi"/>
          <w:color w:val="333333"/>
          <w:spacing w:val="-6"/>
          <w:sz w:val="24"/>
          <w:szCs w:val="24"/>
          <w:bdr w:val="none" w:sz="0" w:space="0" w:color="auto" w:frame="1"/>
          <w:lang w:eastAsia="en-GB"/>
        </w:rPr>
        <w:t>ass-on was a common issue</w:t>
      </w:r>
      <w:r>
        <w:rPr>
          <w:rFonts w:eastAsia="Times New Roman" w:cstheme="minorHAnsi"/>
          <w:color w:val="333333"/>
          <w:spacing w:val="-6"/>
          <w:sz w:val="24"/>
          <w:szCs w:val="24"/>
          <w:bdr w:val="none" w:sz="0" w:space="0" w:color="auto" w:frame="1"/>
          <w:lang w:eastAsia="en-GB"/>
        </w:rPr>
        <w:t>.</w:t>
      </w:r>
    </w:p>
    <w:p w14:paraId="33723E56" w14:textId="31621FE2" w:rsidR="000968FC" w:rsidRPr="00024BA5" w:rsidRDefault="000968FC" w:rsidP="00512952">
      <w:pPr>
        <w:numPr>
          <w:ilvl w:val="0"/>
          <w:numId w:val="14"/>
        </w:numPr>
        <w:shd w:val="clear" w:color="auto" w:fill="FFFFFF"/>
        <w:spacing w:after="240" w:line="336" w:lineRule="atLeast"/>
        <w:ind w:right="237"/>
        <w:jc w:val="both"/>
        <w:textAlignment w:val="baseline"/>
        <w:outlineLvl w:val="3"/>
        <w:rPr>
          <w:rFonts w:eastAsia="Times New Roman" w:cstheme="minorHAnsi"/>
          <w:color w:val="632423" w:themeColor="accent2" w:themeShade="80"/>
          <w:sz w:val="24"/>
          <w:szCs w:val="24"/>
          <w:lang w:eastAsia="en-GB"/>
        </w:rPr>
      </w:pPr>
      <w:r w:rsidRPr="00024BA5">
        <w:rPr>
          <w:rFonts w:eastAsia="Times New Roman" w:cstheme="minorHAnsi"/>
          <w:color w:val="333333"/>
          <w:spacing w:val="-6"/>
          <w:sz w:val="24"/>
          <w:szCs w:val="24"/>
          <w:bdr w:val="none" w:sz="0" w:space="0" w:color="auto" w:frame="1"/>
          <w:lang w:eastAsia="en-GB"/>
        </w:rPr>
        <w:t>A top-down approach is a permissible methodology to calculate aggregate damages and pass-on. To require the calculation of individual losses as a basis for an aggregate award is not required in law (C</w:t>
      </w:r>
      <w:r>
        <w:rPr>
          <w:rFonts w:eastAsia="Times New Roman" w:cstheme="minorHAnsi"/>
          <w:color w:val="333333"/>
          <w:spacing w:val="-6"/>
          <w:sz w:val="24"/>
          <w:szCs w:val="24"/>
          <w:bdr w:val="none" w:sz="0" w:space="0" w:color="auto" w:frame="1"/>
          <w:lang w:eastAsia="en-GB"/>
        </w:rPr>
        <w:t xml:space="preserve">ompetition Act 1998 </w:t>
      </w:r>
      <w:r w:rsidRPr="00024BA5">
        <w:rPr>
          <w:rFonts w:eastAsia="Times New Roman" w:cstheme="minorHAnsi"/>
          <w:color w:val="333333"/>
          <w:spacing w:val="-6"/>
          <w:sz w:val="24"/>
          <w:szCs w:val="24"/>
          <w:bdr w:val="none" w:sz="0" w:space="0" w:color="auto" w:frame="1"/>
          <w:lang w:eastAsia="en-GB"/>
        </w:rPr>
        <w:t>47C(2)) and was not intended by Parliament.  It would defeat the purpose of an opt-out collective action.</w:t>
      </w:r>
    </w:p>
    <w:p w14:paraId="40CE2DF4" w14:textId="08EB7325" w:rsidR="000968FC" w:rsidRPr="00FB4844" w:rsidRDefault="000968FC" w:rsidP="00512952">
      <w:pPr>
        <w:numPr>
          <w:ilvl w:val="0"/>
          <w:numId w:val="14"/>
        </w:numPr>
        <w:shd w:val="clear" w:color="auto" w:fill="FFFFFF"/>
        <w:spacing w:after="0"/>
        <w:ind w:left="714" w:right="237" w:hanging="357"/>
        <w:jc w:val="both"/>
        <w:textAlignment w:val="baseline"/>
        <w:outlineLvl w:val="3"/>
        <w:rPr>
          <w:rFonts w:eastAsia="Times New Roman" w:cstheme="minorHAnsi"/>
          <w:color w:val="632423" w:themeColor="accent2" w:themeShade="80"/>
          <w:sz w:val="24"/>
          <w:szCs w:val="24"/>
          <w:lang w:eastAsia="en-GB"/>
        </w:rPr>
      </w:pPr>
      <w:r w:rsidRPr="00024BA5">
        <w:rPr>
          <w:rFonts w:eastAsia="Times New Roman" w:cstheme="minorHAnsi"/>
          <w:color w:val="333333"/>
          <w:spacing w:val="-6"/>
          <w:sz w:val="24"/>
          <w:szCs w:val="24"/>
          <w:bdr w:val="none" w:sz="0" w:space="0" w:color="auto" w:frame="1"/>
          <w:lang w:eastAsia="en-GB"/>
        </w:rPr>
        <w:t>It was 'not appropriate' for the CAT to require the experts to specify in detail the data that would be available or to establish that there would be sufficient data for every retail sector to apply their proposed (and accepted) methodology at trial. This was especially so as certification was prior to full disclosure</w:t>
      </w:r>
      <w:r w:rsidR="003B7DC1">
        <w:rPr>
          <w:rFonts w:eastAsia="Times New Roman" w:cstheme="minorHAnsi"/>
          <w:color w:val="333333"/>
          <w:spacing w:val="-6"/>
          <w:sz w:val="24"/>
          <w:szCs w:val="24"/>
          <w:bdr w:val="none" w:sz="0" w:space="0" w:color="auto" w:frame="1"/>
          <w:lang w:eastAsia="en-GB"/>
        </w:rPr>
        <w:t xml:space="preserve">, </w:t>
      </w:r>
      <w:r w:rsidRPr="00024BA5">
        <w:rPr>
          <w:rFonts w:eastAsia="Times New Roman" w:cstheme="minorHAnsi"/>
          <w:color w:val="333333"/>
          <w:spacing w:val="-6"/>
          <w:sz w:val="24"/>
          <w:szCs w:val="24"/>
          <w:bdr w:val="none" w:sz="0" w:space="0" w:color="auto" w:frame="1"/>
          <w:lang w:eastAsia="en-GB"/>
        </w:rPr>
        <w:t>and the CAT Rules discourage applications for disclosure</w:t>
      </w:r>
      <w:r w:rsidR="003B7DC1">
        <w:rPr>
          <w:rFonts w:eastAsia="Times New Roman" w:cstheme="minorHAnsi"/>
          <w:color w:val="333333"/>
          <w:spacing w:val="-6"/>
          <w:sz w:val="24"/>
          <w:szCs w:val="24"/>
          <w:bdr w:val="none" w:sz="0" w:space="0" w:color="auto" w:frame="1"/>
          <w:lang w:eastAsia="en-GB"/>
        </w:rPr>
        <w:t>.</w:t>
      </w:r>
    </w:p>
    <w:p w14:paraId="391CDF70" w14:textId="77777777" w:rsidR="000968FC" w:rsidRPr="00FB4844" w:rsidRDefault="000968FC" w:rsidP="00512952">
      <w:pPr>
        <w:shd w:val="clear" w:color="auto" w:fill="FFFFFF"/>
        <w:spacing w:after="0" w:line="240" w:lineRule="auto"/>
        <w:ind w:left="714" w:right="237"/>
        <w:jc w:val="both"/>
        <w:textAlignment w:val="baseline"/>
        <w:outlineLvl w:val="3"/>
        <w:rPr>
          <w:rFonts w:eastAsia="Times New Roman" w:cstheme="minorHAnsi"/>
          <w:color w:val="632423" w:themeColor="accent2" w:themeShade="80"/>
          <w:sz w:val="24"/>
          <w:szCs w:val="24"/>
          <w:lang w:eastAsia="en-GB"/>
        </w:rPr>
      </w:pPr>
    </w:p>
    <w:p w14:paraId="00B4C1FB" w14:textId="4BAD114E" w:rsidR="000968FC" w:rsidRPr="00FB4844" w:rsidRDefault="000968FC" w:rsidP="00512952">
      <w:pPr>
        <w:numPr>
          <w:ilvl w:val="0"/>
          <w:numId w:val="14"/>
        </w:numPr>
        <w:shd w:val="clear" w:color="auto" w:fill="FFFFFF"/>
        <w:spacing w:after="0"/>
        <w:ind w:left="714" w:right="237" w:hanging="357"/>
        <w:jc w:val="both"/>
        <w:textAlignment w:val="baseline"/>
        <w:outlineLvl w:val="3"/>
        <w:rPr>
          <w:rFonts w:eastAsia="Times New Roman" w:cstheme="minorHAnsi"/>
          <w:color w:val="632423" w:themeColor="accent2" w:themeShade="80"/>
          <w:sz w:val="24"/>
          <w:szCs w:val="24"/>
          <w:lang w:eastAsia="en-GB"/>
        </w:rPr>
      </w:pPr>
      <w:r w:rsidRPr="00024BA5">
        <w:rPr>
          <w:rFonts w:eastAsia="Times New Roman" w:cstheme="minorHAnsi"/>
          <w:color w:val="333333"/>
          <w:spacing w:val="-6"/>
          <w:sz w:val="24"/>
          <w:szCs w:val="24"/>
          <w:bdr w:val="none" w:sz="0" w:space="0" w:color="auto" w:frame="1"/>
          <w:lang w:eastAsia="en-GB"/>
        </w:rPr>
        <w:t>The CAT misapplied the Canadian model of certification, on which the UK regime is based</w:t>
      </w:r>
      <w:r w:rsidR="003B7DC1">
        <w:rPr>
          <w:rFonts w:eastAsia="Times New Roman" w:cstheme="minorHAnsi"/>
          <w:color w:val="333333"/>
          <w:spacing w:val="-6"/>
          <w:sz w:val="24"/>
          <w:szCs w:val="24"/>
          <w:bdr w:val="none" w:sz="0" w:space="0" w:color="auto" w:frame="1"/>
          <w:lang w:eastAsia="en-GB"/>
        </w:rPr>
        <w:t>,</w:t>
      </w:r>
      <w:r w:rsidRPr="00024BA5">
        <w:rPr>
          <w:rFonts w:eastAsia="Times New Roman" w:cstheme="minorHAnsi"/>
          <w:color w:val="333333"/>
          <w:spacing w:val="-6"/>
          <w:sz w:val="24"/>
          <w:szCs w:val="24"/>
          <w:bdr w:val="none" w:sz="0" w:space="0" w:color="auto" w:frame="1"/>
          <w:lang w:eastAsia="en-GB"/>
        </w:rPr>
        <w:t xml:space="preserve"> as set out by the Canadian Supreme Court in </w:t>
      </w:r>
      <w:r w:rsidRPr="00024BA5">
        <w:rPr>
          <w:rFonts w:eastAsia="Times New Roman" w:cstheme="minorHAnsi"/>
          <w:i/>
          <w:iCs/>
          <w:color w:val="333333"/>
          <w:spacing w:val="-6"/>
          <w:sz w:val="24"/>
          <w:szCs w:val="24"/>
          <w:bdr w:val="none" w:sz="0" w:space="0" w:color="auto" w:frame="1"/>
          <w:lang w:eastAsia="en-GB"/>
        </w:rPr>
        <w:t>Pro-sys v.</w:t>
      </w:r>
      <w:r w:rsidRPr="00024BA5">
        <w:rPr>
          <w:rFonts w:eastAsia="Times New Roman" w:cstheme="minorHAnsi"/>
          <w:color w:val="333333"/>
          <w:spacing w:val="-6"/>
          <w:sz w:val="24"/>
          <w:szCs w:val="24"/>
          <w:bdr w:val="none" w:sz="0" w:space="0" w:color="auto" w:frame="1"/>
          <w:lang w:eastAsia="en-GB"/>
        </w:rPr>
        <w:t xml:space="preserve"> </w:t>
      </w:r>
      <w:r w:rsidRPr="00024BA5">
        <w:rPr>
          <w:rFonts w:eastAsia="Times New Roman" w:cstheme="minorHAnsi"/>
          <w:i/>
          <w:iCs/>
          <w:color w:val="333333"/>
          <w:spacing w:val="-6"/>
          <w:sz w:val="24"/>
          <w:szCs w:val="24"/>
          <w:bdr w:val="none" w:sz="0" w:space="0" w:color="auto" w:frame="1"/>
          <w:lang w:eastAsia="en-GB"/>
        </w:rPr>
        <w:t>Microsoft,</w:t>
      </w:r>
      <w:r w:rsidRPr="00024BA5">
        <w:rPr>
          <w:rFonts w:eastAsia="Times New Roman" w:cstheme="minorHAnsi"/>
          <w:color w:val="333333"/>
          <w:spacing w:val="-6"/>
          <w:sz w:val="24"/>
          <w:szCs w:val="24"/>
          <w:bdr w:val="none" w:sz="0" w:space="0" w:color="auto" w:frame="1"/>
          <w:lang w:eastAsia="en-GB"/>
        </w:rPr>
        <w:t xml:space="preserve"> by cross-examining the experts about their ability to prove the claim at trial. A CPO hearing was not a 'mini trial' but the CAT had made it one.</w:t>
      </w:r>
    </w:p>
    <w:p w14:paraId="56156DD9" w14:textId="77777777" w:rsidR="000968FC" w:rsidRPr="00FB4844" w:rsidRDefault="000968FC" w:rsidP="00512952">
      <w:pPr>
        <w:shd w:val="clear" w:color="auto" w:fill="FFFFFF"/>
        <w:spacing w:after="0"/>
        <w:ind w:left="714" w:right="237"/>
        <w:jc w:val="both"/>
        <w:textAlignment w:val="baseline"/>
        <w:outlineLvl w:val="3"/>
        <w:rPr>
          <w:rFonts w:eastAsia="Times New Roman" w:cstheme="minorHAnsi"/>
          <w:color w:val="632423" w:themeColor="accent2" w:themeShade="80"/>
          <w:sz w:val="24"/>
          <w:szCs w:val="24"/>
          <w:lang w:eastAsia="en-GB"/>
        </w:rPr>
      </w:pPr>
    </w:p>
    <w:p w14:paraId="62EB941E" w14:textId="793090C3" w:rsidR="000968FC" w:rsidRPr="00FB4844" w:rsidRDefault="000968FC" w:rsidP="00512952">
      <w:pPr>
        <w:numPr>
          <w:ilvl w:val="0"/>
          <w:numId w:val="14"/>
        </w:numPr>
        <w:shd w:val="clear" w:color="auto" w:fill="FFFFFF"/>
        <w:spacing w:after="0"/>
        <w:ind w:left="714" w:right="237" w:hanging="357"/>
        <w:jc w:val="both"/>
        <w:textAlignment w:val="baseline"/>
        <w:outlineLvl w:val="3"/>
        <w:rPr>
          <w:rFonts w:eastAsia="Times New Roman" w:cstheme="minorHAnsi"/>
          <w:color w:val="632423" w:themeColor="accent2" w:themeShade="80"/>
          <w:sz w:val="24"/>
          <w:szCs w:val="24"/>
          <w:lang w:eastAsia="en-GB"/>
        </w:rPr>
      </w:pPr>
      <w:r w:rsidRPr="00FB4844">
        <w:rPr>
          <w:rFonts w:eastAsia="Times New Roman" w:cstheme="minorHAnsi"/>
          <w:color w:val="333333"/>
          <w:spacing w:val="-6"/>
          <w:sz w:val="24"/>
          <w:szCs w:val="24"/>
          <w:bdr w:val="none" w:sz="0" w:space="0" w:color="auto" w:frame="1"/>
          <w:lang w:eastAsia="en-GB"/>
        </w:rPr>
        <w:t>The CAT was 'wrong' to refuse certification by reference to the method of distributing the aggregate</w:t>
      </w:r>
      <w:r w:rsidR="003B7DC1">
        <w:rPr>
          <w:rFonts w:eastAsia="Times New Roman" w:cstheme="minorHAnsi"/>
          <w:color w:val="333333"/>
          <w:spacing w:val="-6"/>
          <w:sz w:val="24"/>
          <w:szCs w:val="24"/>
          <w:bdr w:val="none" w:sz="0" w:space="0" w:color="auto" w:frame="1"/>
          <w:lang w:eastAsia="en-GB"/>
        </w:rPr>
        <w:t xml:space="preserve"> </w:t>
      </w:r>
      <w:r>
        <w:rPr>
          <w:rFonts w:eastAsia="Times New Roman" w:cstheme="minorHAnsi"/>
          <w:color w:val="333333"/>
          <w:spacing w:val="-6"/>
          <w:sz w:val="24"/>
          <w:szCs w:val="24"/>
          <w:bdr w:val="none" w:sz="0" w:space="0" w:color="auto" w:frame="1"/>
          <w:lang w:eastAsia="en-GB"/>
        </w:rPr>
        <w:t>damages</w:t>
      </w:r>
      <w:r w:rsidRPr="00FB4844">
        <w:rPr>
          <w:rFonts w:eastAsia="Times New Roman" w:cstheme="minorHAnsi"/>
          <w:color w:val="333333"/>
          <w:spacing w:val="-6"/>
          <w:sz w:val="24"/>
          <w:szCs w:val="24"/>
          <w:bdr w:val="none" w:sz="0" w:space="0" w:color="auto" w:frame="1"/>
          <w:lang w:eastAsia="en-GB"/>
        </w:rPr>
        <w:t xml:space="preserve">.  There is no legal requirement that the distribution of the aggregate </w:t>
      </w:r>
      <w:r>
        <w:rPr>
          <w:rFonts w:eastAsia="Times New Roman" w:cstheme="minorHAnsi"/>
          <w:color w:val="333333"/>
          <w:spacing w:val="-6"/>
          <w:sz w:val="24"/>
          <w:szCs w:val="24"/>
          <w:bdr w:val="none" w:sz="0" w:space="0" w:color="auto" w:frame="1"/>
          <w:lang w:eastAsia="en-GB"/>
        </w:rPr>
        <w:t xml:space="preserve">damages </w:t>
      </w:r>
      <w:r w:rsidRPr="00FB4844">
        <w:rPr>
          <w:rFonts w:eastAsia="Times New Roman" w:cstheme="minorHAnsi"/>
          <w:color w:val="333333"/>
          <w:spacing w:val="-6"/>
          <w:sz w:val="24"/>
          <w:szCs w:val="24"/>
          <w:bdr w:val="none" w:sz="0" w:space="0" w:color="auto" w:frame="1"/>
          <w:lang w:eastAsia="en-GB"/>
        </w:rPr>
        <w:t>must satisfy compensatory principles. The way damages were to be distributed to members of the class was not a matter for the CAT at the CPO stage. This was for the trial judge.</w:t>
      </w:r>
    </w:p>
    <w:p w14:paraId="029E3385" w14:textId="77777777" w:rsidR="000968FC" w:rsidRPr="00FB4844" w:rsidRDefault="000968FC" w:rsidP="00512952">
      <w:pPr>
        <w:pStyle w:val="ListParagraph"/>
        <w:ind w:right="237"/>
        <w:jc w:val="both"/>
        <w:rPr>
          <w:rFonts w:cstheme="minorHAnsi"/>
          <w:b/>
          <w:sz w:val="24"/>
          <w:szCs w:val="24"/>
        </w:rPr>
      </w:pPr>
    </w:p>
    <w:p w14:paraId="2EE453E9" w14:textId="6348EB14" w:rsidR="000968FC" w:rsidRPr="00FB4844" w:rsidRDefault="000968FC" w:rsidP="00512952">
      <w:pPr>
        <w:shd w:val="clear" w:color="auto" w:fill="FFFFFF"/>
        <w:spacing w:after="0"/>
        <w:ind w:right="237"/>
        <w:jc w:val="center"/>
        <w:textAlignment w:val="baseline"/>
        <w:outlineLvl w:val="3"/>
        <w:rPr>
          <w:rFonts w:cstheme="minorHAnsi"/>
          <w:b/>
          <w:color w:val="870000"/>
          <w:sz w:val="24"/>
          <w:szCs w:val="24"/>
        </w:rPr>
      </w:pPr>
      <w:r w:rsidRPr="00FB4844">
        <w:rPr>
          <w:rFonts w:cstheme="minorHAnsi"/>
          <w:b/>
          <w:color w:val="870000"/>
          <w:sz w:val="24"/>
          <w:szCs w:val="24"/>
        </w:rPr>
        <w:t>THE</w:t>
      </w:r>
      <w:r w:rsidRPr="00FB4844">
        <w:rPr>
          <w:rFonts w:cstheme="minorHAnsi"/>
          <w:b/>
          <w:i/>
          <w:color w:val="870000"/>
          <w:sz w:val="24"/>
          <w:szCs w:val="24"/>
        </w:rPr>
        <w:t xml:space="preserve"> MERRICKS</w:t>
      </w:r>
      <w:r>
        <w:rPr>
          <w:rFonts w:cstheme="minorHAnsi"/>
          <w:b/>
          <w:i/>
          <w:color w:val="870000"/>
          <w:sz w:val="24"/>
          <w:szCs w:val="24"/>
        </w:rPr>
        <w:t>’</w:t>
      </w:r>
      <w:r w:rsidRPr="00FB4844">
        <w:rPr>
          <w:rFonts w:cstheme="minorHAnsi"/>
          <w:b/>
          <w:i/>
          <w:color w:val="870000"/>
          <w:sz w:val="24"/>
          <w:szCs w:val="24"/>
        </w:rPr>
        <w:t xml:space="preserve"> </w:t>
      </w:r>
      <w:r w:rsidRPr="00FB4844">
        <w:rPr>
          <w:rFonts w:cstheme="minorHAnsi"/>
          <w:b/>
          <w:color w:val="870000"/>
          <w:sz w:val="24"/>
          <w:szCs w:val="24"/>
        </w:rPr>
        <w:t>CPO APPLICATION</w:t>
      </w:r>
    </w:p>
    <w:p w14:paraId="34D16509" w14:textId="77777777" w:rsidR="000968FC" w:rsidRPr="00FB4844" w:rsidRDefault="000968FC" w:rsidP="00512952">
      <w:pPr>
        <w:shd w:val="clear" w:color="auto" w:fill="FFFFFF"/>
        <w:spacing w:after="0"/>
        <w:ind w:right="237"/>
        <w:jc w:val="both"/>
        <w:textAlignment w:val="baseline"/>
        <w:outlineLvl w:val="3"/>
        <w:rPr>
          <w:rFonts w:eastAsia="Times New Roman" w:cstheme="minorHAnsi"/>
          <w:color w:val="632423" w:themeColor="accent2" w:themeShade="80"/>
          <w:sz w:val="24"/>
          <w:szCs w:val="24"/>
          <w:lang w:eastAsia="en-GB"/>
        </w:rPr>
      </w:pPr>
    </w:p>
    <w:p w14:paraId="0873D130" w14:textId="4E398D46" w:rsidR="000968FC" w:rsidRDefault="000968FC" w:rsidP="00714763">
      <w:pPr>
        <w:spacing w:after="0"/>
        <w:ind w:right="238"/>
        <w:jc w:val="both"/>
        <w:rPr>
          <w:rFonts w:cstheme="minorHAnsi"/>
          <w:sz w:val="24"/>
          <w:szCs w:val="24"/>
        </w:rPr>
      </w:pPr>
      <w:r w:rsidRPr="00FB4844">
        <w:rPr>
          <w:rFonts w:cstheme="minorHAnsi"/>
          <w:i/>
          <w:sz w:val="24"/>
          <w:szCs w:val="24"/>
        </w:rPr>
        <w:t xml:space="preserve">Merricks </w:t>
      </w:r>
      <w:r>
        <w:rPr>
          <w:rFonts w:cstheme="minorHAnsi"/>
          <w:i/>
          <w:sz w:val="24"/>
          <w:szCs w:val="24"/>
        </w:rPr>
        <w:t xml:space="preserve">v. Mastercard </w:t>
      </w:r>
      <w:r w:rsidRPr="00BA1E28">
        <w:rPr>
          <w:rFonts w:cstheme="minorHAnsi"/>
          <w:sz w:val="24"/>
          <w:szCs w:val="24"/>
        </w:rPr>
        <w:t>(‘</w:t>
      </w:r>
      <w:r>
        <w:rPr>
          <w:rFonts w:cstheme="minorHAnsi"/>
          <w:i/>
          <w:sz w:val="24"/>
          <w:szCs w:val="24"/>
        </w:rPr>
        <w:t>Merricks</w:t>
      </w:r>
      <w:r w:rsidRPr="00BA1E28">
        <w:rPr>
          <w:rFonts w:cstheme="minorHAnsi"/>
          <w:sz w:val="24"/>
          <w:szCs w:val="24"/>
        </w:rPr>
        <w:t>’)</w:t>
      </w:r>
      <w:r>
        <w:rPr>
          <w:rFonts w:cstheme="minorHAnsi"/>
          <w:i/>
          <w:sz w:val="24"/>
          <w:szCs w:val="24"/>
        </w:rPr>
        <w:t xml:space="preserve"> </w:t>
      </w:r>
      <w:r w:rsidRPr="00FB4844">
        <w:rPr>
          <w:rFonts w:cstheme="minorHAnsi"/>
          <w:sz w:val="24"/>
          <w:szCs w:val="24"/>
        </w:rPr>
        <w:t xml:space="preserve">is a </w:t>
      </w:r>
      <w:r>
        <w:rPr>
          <w:rFonts w:cstheme="minorHAnsi"/>
          <w:sz w:val="24"/>
          <w:szCs w:val="24"/>
        </w:rPr>
        <w:t xml:space="preserve">collective action on behalf of 47 million UK residents for £14 billion overcharge damages including interest.  It is a </w:t>
      </w:r>
      <w:r w:rsidRPr="00FB4844">
        <w:rPr>
          <w:rFonts w:cstheme="minorHAnsi"/>
          <w:sz w:val="24"/>
          <w:szCs w:val="24"/>
        </w:rPr>
        <w:t>follow-on action based on the European Commission’s MasterCard decision.</w:t>
      </w:r>
      <w:r w:rsidRPr="00FB4844">
        <w:rPr>
          <w:rStyle w:val="FootnoteReference"/>
          <w:rFonts w:cstheme="minorHAnsi"/>
          <w:sz w:val="24"/>
          <w:szCs w:val="24"/>
        </w:rPr>
        <w:footnoteReference w:id="3"/>
      </w:r>
      <w:r w:rsidRPr="00FB4844">
        <w:rPr>
          <w:rFonts w:cstheme="minorHAnsi"/>
          <w:sz w:val="24"/>
          <w:szCs w:val="24"/>
        </w:rPr>
        <w:t xml:space="preserve"> The Commission found that MasterCard’s default Multilateral Interchange Fees (</w:t>
      </w:r>
      <w:r>
        <w:rPr>
          <w:rFonts w:cstheme="minorHAnsi"/>
          <w:sz w:val="24"/>
          <w:szCs w:val="24"/>
        </w:rPr>
        <w:t>‘</w:t>
      </w:r>
      <w:r w:rsidRPr="00FB4844">
        <w:rPr>
          <w:rFonts w:cstheme="minorHAnsi"/>
          <w:sz w:val="24"/>
          <w:szCs w:val="24"/>
        </w:rPr>
        <w:t>MIFs</w:t>
      </w:r>
      <w:r>
        <w:rPr>
          <w:rFonts w:cstheme="minorHAnsi"/>
          <w:sz w:val="24"/>
          <w:szCs w:val="24"/>
        </w:rPr>
        <w:t>’</w:t>
      </w:r>
      <w:r w:rsidRPr="00FB4844">
        <w:rPr>
          <w:rFonts w:cstheme="minorHAnsi"/>
          <w:sz w:val="24"/>
          <w:szCs w:val="24"/>
        </w:rPr>
        <w:t>) for cross-border credit and debit card transactions infringed Article 101. An interchange fee is a charge made by the card issuer to the card acquirer and passed on in the merchant service charge (</w:t>
      </w:r>
      <w:r>
        <w:rPr>
          <w:rFonts w:cstheme="minorHAnsi"/>
          <w:sz w:val="24"/>
          <w:szCs w:val="24"/>
        </w:rPr>
        <w:t>‘</w:t>
      </w:r>
      <w:r w:rsidRPr="00FB4844">
        <w:rPr>
          <w:rFonts w:cstheme="minorHAnsi"/>
          <w:sz w:val="24"/>
          <w:szCs w:val="24"/>
        </w:rPr>
        <w:t>MSC</w:t>
      </w:r>
      <w:r>
        <w:rPr>
          <w:rFonts w:cstheme="minorHAnsi"/>
          <w:sz w:val="24"/>
          <w:szCs w:val="24"/>
        </w:rPr>
        <w:t>’</w:t>
      </w:r>
      <w:r w:rsidRPr="00FB4844">
        <w:rPr>
          <w:rFonts w:cstheme="minorHAnsi"/>
          <w:sz w:val="24"/>
          <w:szCs w:val="24"/>
        </w:rPr>
        <w:t>) paid by the merchant who accepts a credit or debit card as payment.  The MSC is deducted from the payment made to the merchant after each purchase, and the interchange fee is then paid to the issuing bank. The European Commission found that Mastercard’s collective setting of the default cross-border MIFs breached Article 101(1)</w:t>
      </w:r>
      <w:r>
        <w:rPr>
          <w:rFonts w:cstheme="minorHAnsi"/>
          <w:sz w:val="24"/>
          <w:szCs w:val="24"/>
        </w:rPr>
        <w:t xml:space="preserve"> </w:t>
      </w:r>
      <w:r w:rsidRPr="00FB4844">
        <w:rPr>
          <w:rFonts w:cstheme="minorHAnsi"/>
          <w:sz w:val="24"/>
          <w:szCs w:val="24"/>
        </w:rPr>
        <w:t xml:space="preserve">and were excessive. This led, first, to the European Commission and Mastercard agreeing to lower interchange fees (the </w:t>
      </w:r>
      <w:r w:rsidRPr="00FB4844">
        <w:rPr>
          <w:rFonts w:cstheme="minorHAnsi"/>
          <w:sz w:val="24"/>
          <w:szCs w:val="24"/>
        </w:rPr>
        <w:lastRenderedPageBreak/>
        <w:t>Mastercard Undertakings</w:t>
      </w:r>
      <w:r>
        <w:rPr>
          <w:rFonts w:cstheme="minorHAnsi"/>
          <w:sz w:val="24"/>
          <w:szCs w:val="24"/>
        </w:rPr>
        <w:t>’</w:t>
      </w:r>
      <w:r w:rsidRPr="00FB4844">
        <w:rPr>
          <w:rStyle w:val="FootnoteReference"/>
          <w:rFonts w:cstheme="minorHAnsi"/>
          <w:sz w:val="24"/>
          <w:szCs w:val="24"/>
        </w:rPr>
        <w:footnoteReference w:id="4"/>
      </w:r>
      <w:r w:rsidRPr="00FB4844">
        <w:rPr>
          <w:rFonts w:cstheme="minorHAnsi"/>
          <w:sz w:val="24"/>
          <w:szCs w:val="24"/>
        </w:rPr>
        <w:t xml:space="preserve">), and later regulation EU </w:t>
      </w:r>
      <w:r>
        <w:rPr>
          <w:rFonts w:cstheme="minorHAnsi"/>
          <w:sz w:val="24"/>
          <w:szCs w:val="24"/>
        </w:rPr>
        <w:t xml:space="preserve">2015/751 </w:t>
      </w:r>
      <w:r w:rsidRPr="00FB4844">
        <w:rPr>
          <w:rFonts w:cstheme="minorHAnsi"/>
          <w:sz w:val="24"/>
          <w:szCs w:val="24"/>
        </w:rPr>
        <w:t>which transposed those capped fees to cover all credit and debit card transactions in the EU.</w:t>
      </w:r>
      <w:r w:rsidRPr="00FB4844">
        <w:rPr>
          <w:rStyle w:val="FootnoteReference"/>
          <w:rFonts w:cstheme="minorHAnsi"/>
          <w:sz w:val="24"/>
          <w:szCs w:val="24"/>
        </w:rPr>
        <w:footnoteReference w:id="5"/>
      </w:r>
      <w:r w:rsidRPr="00FB4844">
        <w:rPr>
          <w:rFonts w:cstheme="minorHAnsi"/>
          <w:sz w:val="24"/>
          <w:szCs w:val="24"/>
        </w:rPr>
        <w:t xml:space="preserve">  </w:t>
      </w:r>
    </w:p>
    <w:p w14:paraId="643E68DE" w14:textId="77777777" w:rsidR="000968FC" w:rsidRDefault="000968FC" w:rsidP="00512952">
      <w:pPr>
        <w:ind w:right="237"/>
        <w:jc w:val="both"/>
        <w:rPr>
          <w:rFonts w:cstheme="minorHAnsi"/>
          <w:sz w:val="24"/>
          <w:szCs w:val="24"/>
        </w:rPr>
      </w:pPr>
    </w:p>
    <w:p w14:paraId="290F71DD" w14:textId="7CDB6C03" w:rsidR="000968FC" w:rsidRPr="00FB4844" w:rsidRDefault="000968FC" w:rsidP="00512952">
      <w:pPr>
        <w:ind w:right="237"/>
        <w:jc w:val="center"/>
        <w:rPr>
          <w:rFonts w:cstheme="minorHAnsi"/>
          <w:b/>
          <w:color w:val="870000"/>
          <w:sz w:val="24"/>
          <w:szCs w:val="24"/>
        </w:rPr>
      </w:pPr>
      <w:r w:rsidRPr="00FB4844">
        <w:rPr>
          <w:rFonts w:cstheme="minorHAnsi"/>
          <w:b/>
          <w:color w:val="870000"/>
          <w:sz w:val="24"/>
          <w:szCs w:val="24"/>
        </w:rPr>
        <w:t>THE COLLECTIVE CERTIFICATION REQUIREMENTS</w:t>
      </w:r>
    </w:p>
    <w:p w14:paraId="2F46E67E" w14:textId="5629593D" w:rsidR="000968FC" w:rsidRPr="00FB4844" w:rsidRDefault="000968FC" w:rsidP="00512952">
      <w:pPr>
        <w:ind w:right="237"/>
        <w:jc w:val="both"/>
        <w:rPr>
          <w:rFonts w:cstheme="minorHAnsi"/>
          <w:sz w:val="24"/>
          <w:szCs w:val="24"/>
        </w:rPr>
      </w:pPr>
      <w:r>
        <w:rPr>
          <w:rFonts w:cstheme="minorHAnsi"/>
          <w:sz w:val="24"/>
          <w:szCs w:val="24"/>
        </w:rPr>
        <w:t>The Consumer Rights Act 2015 amended section 47</w:t>
      </w:r>
      <w:r w:rsidR="004426B7">
        <w:rPr>
          <w:rFonts w:cstheme="minorHAnsi"/>
          <w:sz w:val="24"/>
          <w:szCs w:val="24"/>
        </w:rPr>
        <w:t xml:space="preserve"> </w:t>
      </w:r>
      <w:r>
        <w:rPr>
          <w:rFonts w:cstheme="minorHAnsi"/>
          <w:sz w:val="24"/>
          <w:szCs w:val="24"/>
        </w:rPr>
        <w:t xml:space="preserve">B &amp; C of </w:t>
      </w:r>
      <w:r w:rsidRPr="00FB4844">
        <w:rPr>
          <w:rFonts w:cstheme="minorHAnsi"/>
          <w:sz w:val="24"/>
          <w:szCs w:val="24"/>
        </w:rPr>
        <w:t xml:space="preserve">the UK Competition Act 1998 to create a new collective proceeding </w:t>
      </w:r>
      <w:r>
        <w:rPr>
          <w:rFonts w:cstheme="minorHAnsi"/>
          <w:sz w:val="24"/>
          <w:szCs w:val="24"/>
        </w:rPr>
        <w:t>for an award of aggregate damages.</w:t>
      </w:r>
      <w:r w:rsidRPr="00FB4844">
        <w:rPr>
          <w:rFonts w:cstheme="minorHAnsi"/>
          <w:sz w:val="24"/>
          <w:szCs w:val="24"/>
        </w:rPr>
        <w:t xml:space="preserve">  </w:t>
      </w:r>
      <w:r>
        <w:rPr>
          <w:rFonts w:cstheme="minorHAnsi"/>
          <w:sz w:val="24"/>
          <w:szCs w:val="24"/>
        </w:rPr>
        <w:t xml:space="preserve">To proceed to trial the </w:t>
      </w:r>
      <w:r w:rsidRPr="00FB4844">
        <w:rPr>
          <w:rFonts w:cstheme="minorHAnsi"/>
          <w:sz w:val="24"/>
          <w:szCs w:val="24"/>
        </w:rPr>
        <w:t xml:space="preserve">class representative </w:t>
      </w:r>
      <w:r>
        <w:rPr>
          <w:rFonts w:cstheme="minorHAnsi"/>
          <w:sz w:val="24"/>
          <w:szCs w:val="24"/>
        </w:rPr>
        <w:t>must first apply to the CAT for a</w:t>
      </w:r>
      <w:r w:rsidRPr="00FB4844">
        <w:rPr>
          <w:rFonts w:cstheme="minorHAnsi"/>
          <w:sz w:val="24"/>
          <w:szCs w:val="24"/>
        </w:rPr>
        <w:t xml:space="preserve"> CPO to ensure that the members included in the group have sufficient ‘common’ interest to constitute a suitable class of claimants.</w:t>
      </w:r>
    </w:p>
    <w:p w14:paraId="4436CF45" w14:textId="6F88EC27" w:rsidR="000968FC" w:rsidRPr="00FB4844" w:rsidRDefault="000968FC" w:rsidP="00512952">
      <w:pPr>
        <w:ind w:right="237"/>
        <w:jc w:val="both"/>
        <w:rPr>
          <w:rStyle w:val="fontstyle21"/>
          <w:rFonts w:asciiTheme="minorHAnsi" w:hAnsiTheme="minorHAnsi" w:cstheme="minorHAnsi"/>
          <w:color w:val="auto"/>
          <w:sz w:val="24"/>
          <w:szCs w:val="24"/>
        </w:rPr>
      </w:pPr>
      <w:r w:rsidRPr="00FB4844">
        <w:rPr>
          <w:rFonts w:cstheme="minorHAnsi"/>
          <w:sz w:val="24"/>
          <w:szCs w:val="24"/>
        </w:rPr>
        <w:t xml:space="preserve">The requirements for a CPO are set out in the </w:t>
      </w:r>
      <w:r w:rsidRPr="00FB4844">
        <w:rPr>
          <w:rStyle w:val="fontstyle21"/>
          <w:rFonts w:asciiTheme="minorHAnsi" w:hAnsiTheme="minorHAnsi" w:cstheme="minorHAnsi"/>
          <w:color w:val="auto"/>
          <w:sz w:val="24"/>
          <w:szCs w:val="24"/>
        </w:rPr>
        <w:t xml:space="preserve">Competition Appeal Tribunal Rules 2015 and </w:t>
      </w:r>
      <w:r w:rsidRPr="00FB4844">
        <w:rPr>
          <w:rFonts w:cstheme="minorHAnsi"/>
          <w:sz w:val="24"/>
          <w:szCs w:val="24"/>
        </w:rPr>
        <w:t>CAT Guide to Proceedings 2015</w:t>
      </w:r>
      <w:r w:rsidRPr="00FB4844">
        <w:rPr>
          <w:rStyle w:val="fontstyle21"/>
          <w:rFonts w:asciiTheme="minorHAnsi" w:hAnsiTheme="minorHAnsi" w:cstheme="minorHAnsi"/>
          <w:color w:val="auto"/>
          <w:sz w:val="24"/>
          <w:szCs w:val="24"/>
        </w:rPr>
        <w:t xml:space="preserve">. </w:t>
      </w:r>
      <w:r>
        <w:rPr>
          <w:rStyle w:val="fontstyle21"/>
          <w:rFonts w:asciiTheme="minorHAnsi" w:hAnsiTheme="minorHAnsi" w:cstheme="minorHAnsi"/>
          <w:color w:val="auto"/>
          <w:sz w:val="24"/>
          <w:szCs w:val="24"/>
        </w:rPr>
        <w:t xml:space="preserve">According to the </w:t>
      </w:r>
      <w:r w:rsidRPr="00FB4844">
        <w:rPr>
          <w:rStyle w:val="fontstyle21"/>
          <w:rFonts w:asciiTheme="minorHAnsi" w:hAnsiTheme="minorHAnsi" w:cstheme="minorHAnsi"/>
          <w:color w:val="auto"/>
          <w:sz w:val="24"/>
          <w:szCs w:val="24"/>
        </w:rPr>
        <w:t>CAT Guide</w:t>
      </w:r>
      <w:r w:rsidRPr="00FB4844">
        <w:rPr>
          <w:rStyle w:val="FootnoteReference"/>
          <w:rFonts w:cstheme="minorHAnsi"/>
          <w:sz w:val="24"/>
          <w:szCs w:val="24"/>
        </w:rPr>
        <w:footnoteReference w:id="6"/>
      </w:r>
      <w:r>
        <w:rPr>
          <w:rStyle w:val="fontstyle21"/>
          <w:rFonts w:asciiTheme="minorHAnsi" w:hAnsiTheme="minorHAnsi" w:cstheme="minorHAnsi"/>
          <w:color w:val="auto"/>
          <w:sz w:val="24"/>
          <w:szCs w:val="24"/>
        </w:rPr>
        <w:t>, which has the status of a practice direction, for an action to be certified there must be common issues binding the class.  Common issues mean ‘t</w:t>
      </w:r>
      <w:r w:rsidRPr="00FB4844">
        <w:rPr>
          <w:rStyle w:val="fontstyle41"/>
          <w:rFonts w:asciiTheme="minorHAnsi" w:hAnsiTheme="minorHAnsi" w:cstheme="minorHAnsi"/>
          <w:i w:val="0"/>
          <w:color w:val="auto"/>
          <w:sz w:val="24"/>
          <w:szCs w:val="24"/>
        </w:rPr>
        <w:t>he same, similar or related issues of fact or law</w:t>
      </w:r>
      <w:r>
        <w:rPr>
          <w:rStyle w:val="fontstyle41"/>
          <w:rFonts w:asciiTheme="minorHAnsi" w:hAnsiTheme="minorHAnsi" w:cstheme="minorHAnsi"/>
          <w:i w:val="0"/>
          <w:color w:val="auto"/>
          <w:sz w:val="24"/>
          <w:szCs w:val="24"/>
        </w:rPr>
        <w:t>’</w:t>
      </w:r>
      <w:r>
        <w:rPr>
          <w:rStyle w:val="fontstyle21"/>
          <w:rFonts w:asciiTheme="minorHAnsi" w:hAnsiTheme="minorHAnsi" w:cstheme="minorHAnsi"/>
          <w:i/>
          <w:color w:val="auto"/>
          <w:sz w:val="24"/>
          <w:szCs w:val="24"/>
        </w:rPr>
        <w:t>.</w:t>
      </w:r>
      <w:r w:rsidRPr="009D4B6E">
        <w:rPr>
          <w:rStyle w:val="FootnoteReference"/>
          <w:rFonts w:cstheme="minorHAnsi"/>
          <w:sz w:val="24"/>
          <w:szCs w:val="24"/>
        </w:rPr>
        <w:footnoteReference w:id="7"/>
      </w:r>
      <w:r>
        <w:rPr>
          <w:rStyle w:val="fontstyle21"/>
          <w:rFonts w:asciiTheme="minorHAnsi" w:hAnsiTheme="minorHAnsi" w:cstheme="minorHAnsi"/>
          <w:i/>
          <w:color w:val="auto"/>
          <w:sz w:val="24"/>
          <w:szCs w:val="24"/>
        </w:rPr>
        <w:t xml:space="preserve">  </w:t>
      </w:r>
      <w:r w:rsidRPr="009D4B6E">
        <w:rPr>
          <w:rStyle w:val="fontstyle21"/>
          <w:rFonts w:asciiTheme="minorHAnsi" w:hAnsiTheme="minorHAnsi" w:cstheme="minorHAnsi"/>
          <w:color w:val="auto"/>
          <w:sz w:val="24"/>
          <w:szCs w:val="24"/>
        </w:rPr>
        <w:t>However there is no requirement</w:t>
      </w:r>
      <w:r>
        <w:rPr>
          <w:rStyle w:val="fontstyle21"/>
          <w:rFonts w:asciiTheme="minorHAnsi" w:hAnsiTheme="minorHAnsi" w:cstheme="minorHAnsi"/>
          <w:i/>
          <w:color w:val="auto"/>
          <w:sz w:val="24"/>
          <w:szCs w:val="24"/>
        </w:rPr>
        <w:t xml:space="preserve"> </w:t>
      </w:r>
      <w:r w:rsidRPr="009D4B6E">
        <w:rPr>
          <w:rStyle w:val="fontstyle21"/>
          <w:rFonts w:asciiTheme="minorHAnsi" w:hAnsiTheme="minorHAnsi" w:cstheme="minorHAnsi"/>
          <w:color w:val="auto"/>
          <w:sz w:val="24"/>
          <w:szCs w:val="24"/>
        </w:rPr>
        <w:t>(as in US class action certification</w:t>
      </w:r>
      <w:r>
        <w:rPr>
          <w:rStyle w:val="fontstyle21"/>
          <w:rFonts w:asciiTheme="minorHAnsi" w:hAnsiTheme="minorHAnsi" w:cstheme="minorHAnsi"/>
          <w:color w:val="auto"/>
          <w:sz w:val="24"/>
          <w:szCs w:val="24"/>
        </w:rPr>
        <w:t>)</w:t>
      </w:r>
      <w:r w:rsidRPr="009D4B6E">
        <w:rPr>
          <w:rStyle w:val="fontstyle21"/>
          <w:rFonts w:asciiTheme="minorHAnsi" w:hAnsiTheme="minorHAnsi" w:cstheme="minorHAnsi"/>
          <w:color w:val="auto"/>
          <w:sz w:val="24"/>
          <w:szCs w:val="24"/>
        </w:rPr>
        <w:t xml:space="preserve"> that the common issues ‘predominate’ over individual issues</w:t>
      </w:r>
      <w:r>
        <w:rPr>
          <w:rStyle w:val="fontstyle21"/>
          <w:rFonts w:asciiTheme="minorHAnsi" w:hAnsiTheme="minorHAnsi" w:cstheme="minorHAnsi"/>
          <w:color w:val="auto"/>
          <w:sz w:val="24"/>
          <w:szCs w:val="24"/>
        </w:rPr>
        <w:t xml:space="preserve">, only that they must be ‘significant’, and the </w:t>
      </w:r>
      <w:r w:rsidRPr="00FB4844">
        <w:rPr>
          <w:rStyle w:val="fontstyle21"/>
          <w:rFonts w:asciiTheme="minorHAnsi" w:hAnsiTheme="minorHAnsi" w:cstheme="minorHAnsi"/>
          <w:i/>
          <w:color w:val="auto"/>
          <w:sz w:val="24"/>
          <w:szCs w:val="24"/>
        </w:rPr>
        <w:t>‘</w:t>
      </w:r>
      <w:r w:rsidRPr="00FB4844">
        <w:rPr>
          <w:rStyle w:val="fontstyle41"/>
          <w:rFonts w:asciiTheme="minorHAnsi" w:hAnsiTheme="minorHAnsi" w:cstheme="minorHAnsi"/>
          <w:i w:val="0"/>
          <w:color w:val="auto"/>
          <w:sz w:val="24"/>
          <w:szCs w:val="24"/>
        </w:rPr>
        <w:t>the final resolution of the claims may require the assessment of individual issues. The existence of such individual issues is not fatal for a CPO’.</w:t>
      </w:r>
      <w:r w:rsidRPr="00FB4844">
        <w:rPr>
          <w:rStyle w:val="fontstyle21"/>
          <w:rFonts w:asciiTheme="minorHAnsi" w:hAnsiTheme="minorHAnsi" w:cstheme="minorHAnsi"/>
          <w:i/>
          <w:color w:val="auto"/>
          <w:sz w:val="24"/>
          <w:szCs w:val="24"/>
        </w:rPr>
        <w:t xml:space="preserve"> </w:t>
      </w:r>
    </w:p>
    <w:p w14:paraId="20E5E974" w14:textId="461640B1" w:rsidR="000968FC" w:rsidRPr="00FB4844" w:rsidRDefault="000968FC" w:rsidP="00512952">
      <w:pPr>
        <w:ind w:right="237"/>
        <w:jc w:val="both"/>
        <w:rPr>
          <w:rFonts w:cstheme="minorHAnsi"/>
          <w:sz w:val="24"/>
          <w:szCs w:val="24"/>
        </w:rPr>
      </w:pPr>
      <w:r w:rsidRPr="00FB4844">
        <w:rPr>
          <w:rFonts w:cstheme="minorHAnsi"/>
          <w:sz w:val="24"/>
          <w:szCs w:val="24"/>
        </w:rPr>
        <w:t>CAT Rule 79(3)(a) requires the Tribunal to assess the ‘strength of claims’ for opt-out actions.  It continues that ‘the reference to the “strength of the claims” does not require the Tribunal to conduct a full merits assessment, and the Tribunal does not expect the parties to make detailed submissions as would</w:t>
      </w:r>
      <w:r>
        <w:rPr>
          <w:rFonts w:cstheme="minorHAnsi"/>
          <w:sz w:val="24"/>
          <w:szCs w:val="24"/>
        </w:rPr>
        <w:t xml:space="preserve"> be</w:t>
      </w:r>
      <w:r w:rsidRPr="00FB4844">
        <w:rPr>
          <w:rFonts w:cstheme="minorHAnsi"/>
          <w:sz w:val="24"/>
          <w:szCs w:val="24"/>
        </w:rPr>
        <w:t xml:space="preserve"> required at a full trial.</w:t>
      </w:r>
      <w:r>
        <w:rPr>
          <w:rFonts w:cstheme="minorHAnsi"/>
          <w:sz w:val="24"/>
          <w:szCs w:val="24"/>
        </w:rPr>
        <w:t>’</w:t>
      </w:r>
      <w:r w:rsidRPr="00FB4844">
        <w:rPr>
          <w:rFonts w:cstheme="minorHAnsi"/>
          <w:sz w:val="24"/>
          <w:szCs w:val="24"/>
        </w:rPr>
        <w:t xml:space="preserve"> </w:t>
      </w:r>
      <w:r>
        <w:rPr>
          <w:rFonts w:cstheme="minorHAnsi"/>
          <w:sz w:val="24"/>
          <w:szCs w:val="24"/>
        </w:rPr>
        <w:t xml:space="preserve">It will </w:t>
      </w:r>
      <w:r w:rsidRPr="00FB4844">
        <w:rPr>
          <w:rFonts w:cstheme="minorHAnsi"/>
          <w:sz w:val="24"/>
          <w:szCs w:val="24"/>
        </w:rPr>
        <w:t>form a ‘high-level view’.  Further ‘[T]he Tribunal does not encourage requests for disclosure as part of the application for a CPO excepted where specific and limited disclosure ... is necessary to determine’ the suitability of the claim for a collective proceeding.</w:t>
      </w:r>
      <w:r>
        <w:rPr>
          <w:rFonts w:cstheme="minorHAnsi"/>
          <w:sz w:val="24"/>
          <w:szCs w:val="24"/>
        </w:rPr>
        <w:t xml:space="preserve">’ </w:t>
      </w:r>
      <w:r w:rsidRPr="00FB4844">
        <w:rPr>
          <w:rStyle w:val="FootnoteReference"/>
          <w:rFonts w:cstheme="minorHAnsi"/>
          <w:sz w:val="24"/>
          <w:szCs w:val="24"/>
        </w:rPr>
        <w:footnoteReference w:id="8"/>
      </w:r>
      <w:r w:rsidRPr="00FB4844">
        <w:rPr>
          <w:rFonts w:cstheme="minorHAnsi"/>
          <w:sz w:val="24"/>
          <w:szCs w:val="24"/>
        </w:rPr>
        <w:t xml:space="preserve"> </w:t>
      </w:r>
    </w:p>
    <w:p w14:paraId="70EE43BF" w14:textId="7DB5367C" w:rsidR="000968FC" w:rsidRPr="00FB4844" w:rsidRDefault="000968FC" w:rsidP="00512952">
      <w:pPr>
        <w:autoSpaceDE w:val="0"/>
        <w:autoSpaceDN w:val="0"/>
        <w:adjustRightInd w:val="0"/>
        <w:spacing w:after="0"/>
        <w:ind w:right="237"/>
        <w:jc w:val="both"/>
        <w:rPr>
          <w:rFonts w:eastAsia="Times New Roman" w:cstheme="minorHAnsi"/>
          <w:sz w:val="24"/>
          <w:szCs w:val="24"/>
          <w:lang w:eastAsia="en-GB"/>
        </w:rPr>
      </w:pPr>
      <w:r w:rsidRPr="00FB4844">
        <w:rPr>
          <w:rFonts w:cstheme="minorHAnsi"/>
          <w:sz w:val="24"/>
          <w:szCs w:val="24"/>
        </w:rPr>
        <w:t xml:space="preserve">In both </w:t>
      </w:r>
      <w:r w:rsidRPr="00FB4844">
        <w:rPr>
          <w:rFonts w:cstheme="minorHAnsi"/>
          <w:i/>
          <w:sz w:val="24"/>
          <w:szCs w:val="24"/>
        </w:rPr>
        <w:t xml:space="preserve">Merricks </w:t>
      </w:r>
      <w:r w:rsidRPr="00F31D6F">
        <w:rPr>
          <w:rFonts w:cstheme="minorHAnsi"/>
          <w:sz w:val="24"/>
          <w:szCs w:val="24"/>
        </w:rPr>
        <w:t xml:space="preserve">and </w:t>
      </w:r>
      <w:r>
        <w:rPr>
          <w:rFonts w:cstheme="minorHAnsi"/>
          <w:sz w:val="24"/>
          <w:szCs w:val="24"/>
        </w:rPr>
        <w:t xml:space="preserve">the earlier failed </w:t>
      </w:r>
      <w:r w:rsidRPr="00FB4844">
        <w:rPr>
          <w:rFonts w:cstheme="minorHAnsi"/>
          <w:i/>
          <w:sz w:val="24"/>
          <w:szCs w:val="24"/>
        </w:rPr>
        <w:t>Gibson</w:t>
      </w:r>
      <w:r>
        <w:rPr>
          <w:rStyle w:val="FootnoteReference"/>
          <w:rFonts w:eastAsia="Times New Roman" w:cstheme="minorHAnsi"/>
          <w:color w:val="333333"/>
          <w:spacing w:val="-6"/>
          <w:sz w:val="24"/>
          <w:szCs w:val="24"/>
          <w:bdr w:val="none" w:sz="0" w:space="0" w:color="auto" w:frame="1"/>
          <w:lang w:eastAsia="en-GB"/>
        </w:rPr>
        <w:footnoteReference w:id="9"/>
      </w:r>
      <w:r w:rsidRPr="00FB4844">
        <w:rPr>
          <w:rFonts w:eastAsia="Times New Roman" w:cstheme="minorHAnsi"/>
          <w:color w:val="333333"/>
          <w:spacing w:val="-6"/>
          <w:sz w:val="24"/>
          <w:szCs w:val="24"/>
          <w:bdr w:val="none" w:sz="0" w:space="0" w:color="auto" w:frame="1"/>
          <w:lang w:eastAsia="en-GB"/>
        </w:rPr>
        <w:t xml:space="preserve"> </w:t>
      </w:r>
      <w:r>
        <w:rPr>
          <w:rFonts w:cstheme="minorHAnsi"/>
          <w:sz w:val="24"/>
          <w:szCs w:val="24"/>
        </w:rPr>
        <w:t xml:space="preserve">certification </w:t>
      </w:r>
      <w:r w:rsidR="005708E6">
        <w:rPr>
          <w:rFonts w:cstheme="minorHAnsi"/>
          <w:sz w:val="24"/>
          <w:szCs w:val="24"/>
        </w:rPr>
        <w:t>application</w:t>
      </w:r>
      <w:r w:rsidR="003B7DC1">
        <w:rPr>
          <w:rFonts w:cstheme="minorHAnsi"/>
          <w:sz w:val="24"/>
          <w:szCs w:val="24"/>
        </w:rPr>
        <w:t xml:space="preserve">s, </w:t>
      </w:r>
      <w:r w:rsidRPr="00FB4844">
        <w:rPr>
          <w:rFonts w:cstheme="minorHAnsi"/>
          <w:sz w:val="24"/>
          <w:szCs w:val="24"/>
        </w:rPr>
        <w:t>the CAT announced that it would follow the ‘Canadian approach’ as set out</w:t>
      </w:r>
      <w:r>
        <w:rPr>
          <w:rFonts w:cstheme="minorHAnsi"/>
          <w:sz w:val="24"/>
          <w:szCs w:val="24"/>
        </w:rPr>
        <w:t xml:space="preserve"> by the Canadian Supreme Court </w:t>
      </w:r>
      <w:r w:rsidRPr="00FB4844">
        <w:rPr>
          <w:rFonts w:cstheme="minorHAnsi"/>
          <w:sz w:val="24"/>
          <w:szCs w:val="24"/>
        </w:rPr>
        <w:t xml:space="preserve">in </w:t>
      </w:r>
      <w:r w:rsidRPr="00FB4844">
        <w:rPr>
          <w:rFonts w:cstheme="minorHAnsi"/>
          <w:i/>
          <w:sz w:val="24"/>
          <w:szCs w:val="24"/>
        </w:rPr>
        <w:t>Pro-Sys Consultants Ltd v. Microsoft Corp.</w:t>
      </w:r>
      <w:r w:rsidRPr="00FB4844">
        <w:rPr>
          <w:rStyle w:val="FootnoteReference"/>
          <w:rFonts w:cstheme="minorHAnsi"/>
          <w:i/>
          <w:sz w:val="24"/>
          <w:szCs w:val="24"/>
        </w:rPr>
        <w:footnoteReference w:id="10"/>
      </w:r>
      <w:r w:rsidRPr="00FB4844">
        <w:rPr>
          <w:rFonts w:cstheme="minorHAnsi"/>
          <w:sz w:val="24"/>
          <w:szCs w:val="24"/>
        </w:rPr>
        <w:t xml:space="preserve"> (</w:t>
      </w:r>
      <w:r>
        <w:rPr>
          <w:rFonts w:cstheme="minorHAnsi"/>
          <w:sz w:val="24"/>
          <w:szCs w:val="24"/>
        </w:rPr>
        <w:t>‘</w:t>
      </w:r>
      <w:r w:rsidRPr="00FB4844">
        <w:rPr>
          <w:rFonts w:cstheme="minorHAnsi"/>
          <w:i/>
          <w:sz w:val="24"/>
          <w:szCs w:val="24"/>
        </w:rPr>
        <w:t>Pro-Sys</w:t>
      </w:r>
      <w:r>
        <w:rPr>
          <w:rFonts w:cstheme="minorHAnsi"/>
          <w:i/>
          <w:sz w:val="24"/>
          <w:szCs w:val="24"/>
        </w:rPr>
        <w:t>’</w:t>
      </w:r>
      <w:r w:rsidRPr="00FB4844">
        <w:rPr>
          <w:rFonts w:cstheme="minorHAnsi"/>
          <w:i/>
          <w:sz w:val="24"/>
          <w:szCs w:val="24"/>
        </w:rPr>
        <w:t xml:space="preserve"> or </w:t>
      </w:r>
      <w:r>
        <w:rPr>
          <w:rFonts w:cstheme="minorHAnsi"/>
          <w:i/>
          <w:sz w:val="24"/>
          <w:szCs w:val="24"/>
        </w:rPr>
        <w:t>‘</w:t>
      </w:r>
      <w:r w:rsidRPr="00FB4844">
        <w:rPr>
          <w:rFonts w:cstheme="minorHAnsi"/>
          <w:i/>
          <w:sz w:val="24"/>
          <w:szCs w:val="24"/>
        </w:rPr>
        <w:t>Microsoft</w:t>
      </w:r>
      <w:r>
        <w:rPr>
          <w:rFonts w:cstheme="minorHAnsi"/>
          <w:i/>
          <w:sz w:val="24"/>
          <w:szCs w:val="24"/>
        </w:rPr>
        <w:t>’</w:t>
      </w:r>
      <w:r w:rsidRPr="00FB4844">
        <w:rPr>
          <w:rFonts w:cstheme="minorHAnsi"/>
          <w:i/>
          <w:sz w:val="24"/>
          <w:szCs w:val="24"/>
        </w:rPr>
        <w:t xml:space="preserve"> </w:t>
      </w:r>
      <w:r w:rsidRPr="00FB4844">
        <w:rPr>
          <w:rFonts w:cstheme="minorHAnsi"/>
          <w:sz w:val="24"/>
          <w:szCs w:val="24"/>
        </w:rPr>
        <w:t>as it is referred to by the Court of Appeal) that: (1) ‘the expert methodology must be sufficiently credible or plausible to establish some basis in fact for the commonality requirement’</w:t>
      </w:r>
      <w:r w:rsidRPr="00FB4844">
        <w:rPr>
          <w:rStyle w:val="FootnoteReference"/>
          <w:rFonts w:cstheme="minorHAnsi"/>
          <w:sz w:val="24"/>
          <w:szCs w:val="24"/>
        </w:rPr>
        <w:footnoteReference w:id="11"/>
      </w:r>
      <w:r w:rsidRPr="00FB4844">
        <w:rPr>
          <w:rFonts w:cstheme="minorHAnsi"/>
          <w:sz w:val="24"/>
          <w:szCs w:val="24"/>
        </w:rPr>
        <w:t xml:space="preserve">; </w:t>
      </w:r>
      <w:r w:rsidRPr="00FB4844">
        <w:rPr>
          <w:rFonts w:cstheme="minorHAnsi"/>
          <w:sz w:val="24"/>
          <w:szCs w:val="24"/>
        </w:rPr>
        <w:lastRenderedPageBreak/>
        <w:t xml:space="preserve">and (2) </w:t>
      </w:r>
      <w:r>
        <w:rPr>
          <w:rFonts w:cstheme="minorHAnsi"/>
          <w:sz w:val="24"/>
          <w:szCs w:val="24"/>
        </w:rPr>
        <w:t xml:space="preserve">that </w:t>
      </w:r>
      <w:r w:rsidRPr="00FB4844">
        <w:rPr>
          <w:rFonts w:cstheme="minorHAnsi"/>
          <w:sz w:val="24"/>
          <w:szCs w:val="24"/>
        </w:rPr>
        <w:t>‘There must be some evidence of the availability of the data to which the methodology is to be applied.’</w:t>
      </w:r>
      <w:r w:rsidRPr="00FB4844">
        <w:rPr>
          <w:rStyle w:val="FootnoteReference"/>
          <w:rFonts w:cstheme="minorHAnsi"/>
          <w:sz w:val="24"/>
          <w:szCs w:val="24"/>
        </w:rPr>
        <w:footnoteReference w:id="12"/>
      </w:r>
      <w:r w:rsidRPr="00FB4844">
        <w:rPr>
          <w:rFonts w:cstheme="minorHAnsi"/>
          <w:sz w:val="24"/>
          <w:szCs w:val="24"/>
        </w:rPr>
        <w:t xml:space="preserve"> </w:t>
      </w:r>
    </w:p>
    <w:p w14:paraId="7FA9E0B5" w14:textId="77777777" w:rsidR="000968FC" w:rsidRPr="00FB4844" w:rsidRDefault="000968FC" w:rsidP="00512952">
      <w:pPr>
        <w:spacing w:after="0"/>
        <w:ind w:right="237"/>
        <w:jc w:val="both"/>
        <w:rPr>
          <w:rFonts w:cstheme="minorHAnsi"/>
          <w:sz w:val="24"/>
          <w:szCs w:val="24"/>
        </w:rPr>
      </w:pPr>
    </w:p>
    <w:p w14:paraId="32AFBC4E" w14:textId="77777777" w:rsidR="000968FC" w:rsidRPr="00FB4844" w:rsidRDefault="000968FC" w:rsidP="00512952">
      <w:pPr>
        <w:spacing w:after="0"/>
        <w:ind w:right="237"/>
        <w:jc w:val="both"/>
        <w:rPr>
          <w:rFonts w:eastAsia="Times New Roman" w:cstheme="minorHAnsi"/>
          <w:sz w:val="24"/>
          <w:szCs w:val="24"/>
          <w:lang w:eastAsia="en-GB"/>
        </w:rPr>
      </w:pPr>
    </w:p>
    <w:p w14:paraId="4DFB58DC" w14:textId="5689CAC9" w:rsidR="000968FC" w:rsidRPr="00FB4844" w:rsidRDefault="000968FC" w:rsidP="00512952">
      <w:pPr>
        <w:ind w:right="237"/>
        <w:jc w:val="center"/>
        <w:rPr>
          <w:rFonts w:cstheme="minorHAnsi"/>
          <w:color w:val="870000"/>
          <w:sz w:val="24"/>
          <w:szCs w:val="24"/>
        </w:rPr>
      </w:pPr>
      <w:r w:rsidRPr="00FB4844">
        <w:rPr>
          <w:rFonts w:cstheme="minorHAnsi"/>
          <w:b/>
          <w:color w:val="870000"/>
          <w:sz w:val="24"/>
          <w:szCs w:val="24"/>
        </w:rPr>
        <w:t xml:space="preserve">THE </w:t>
      </w:r>
      <w:r w:rsidRPr="00FB4844">
        <w:rPr>
          <w:rFonts w:cstheme="minorHAnsi"/>
          <w:b/>
          <w:i/>
          <w:color w:val="870000"/>
          <w:sz w:val="24"/>
          <w:szCs w:val="24"/>
        </w:rPr>
        <w:t>MERRICKS’</w:t>
      </w:r>
      <w:r w:rsidRPr="00FB4844">
        <w:rPr>
          <w:rFonts w:cstheme="minorHAnsi"/>
          <w:b/>
          <w:color w:val="870000"/>
          <w:sz w:val="24"/>
          <w:szCs w:val="24"/>
        </w:rPr>
        <w:t xml:space="preserve"> GROUNDS FOR DISMISSAL</w:t>
      </w:r>
    </w:p>
    <w:p w14:paraId="0E5651EA" w14:textId="381CCFA8" w:rsidR="000968FC" w:rsidRPr="00FB4844" w:rsidRDefault="000968FC" w:rsidP="00512952">
      <w:pPr>
        <w:ind w:right="237"/>
        <w:jc w:val="both"/>
        <w:rPr>
          <w:rFonts w:cstheme="minorHAnsi"/>
          <w:sz w:val="24"/>
          <w:szCs w:val="24"/>
        </w:rPr>
      </w:pPr>
      <w:r>
        <w:rPr>
          <w:rFonts w:eastAsia="Times New Roman" w:cstheme="minorHAnsi"/>
          <w:color w:val="333333"/>
          <w:spacing w:val="-6"/>
          <w:sz w:val="24"/>
          <w:szCs w:val="24"/>
          <w:bdr w:val="none" w:sz="0" w:space="0" w:color="auto" w:frame="1"/>
          <w:lang w:eastAsia="en-GB"/>
        </w:rPr>
        <w:t>The CAT refused M</w:t>
      </w:r>
      <w:r>
        <w:rPr>
          <w:rFonts w:cstheme="minorHAnsi"/>
          <w:sz w:val="24"/>
          <w:szCs w:val="24"/>
        </w:rPr>
        <w:t xml:space="preserve">r Merricks’ </w:t>
      </w:r>
      <w:r w:rsidRPr="00FB4844">
        <w:rPr>
          <w:rFonts w:cstheme="minorHAnsi"/>
          <w:sz w:val="24"/>
          <w:szCs w:val="24"/>
        </w:rPr>
        <w:t xml:space="preserve">application </w:t>
      </w:r>
      <w:r>
        <w:rPr>
          <w:rFonts w:cstheme="minorHAnsi"/>
          <w:sz w:val="24"/>
          <w:szCs w:val="24"/>
        </w:rPr>
        <w:t xml:space="preserve">on two grounds </w:t>
      </w:r>
      <w:r w:rsidRPr="00FB4844">
        <w:rPr>
          <w:rFonts w:cstheme="minorHAnsi"/>
          <w:sz w:val="24"/>
          <w:szCs w:val="24"/>
        </w:rPr>
        <w:t xml:space="preserve">a) the </w:t>
      </w:r>
      <w:r>
        <w:rPr>
          <w:rFonts w:cstheme="minorHAnsi"/>
          <w:sz w:val="24"/>
          <w:szCs w:val="24"/>
        </w:rPr>
        <w:t>failure to satisfy the Tribunal that there was sufficient data to establish pass-on</w:t>
      </w:r>
      <w:r w:rsidRPr="00FB4844">
        <w:rPr>
          <w:rFonts w:cstheme="minorHAnsi"/>
          <w:sz w:val="24"/>
          <w:szCs w:val="24"/>
        </w:rPr>
        <w:t xml:space="preserve">; and b) the proposed method of distributing </w:t>
      </w:r>
      <w:r>
        <w:rPr>
          <w:rFonts w:cstheme="minorHAnsi"/>
          <w:sz w:val="24"/>
          <w:szCs w:val="24"/>
        </w:rPr>
        <w:t xml:space="preserve">aggregate </w:t>
      </w:r>
      <w:r w:rsidRPr="00FB4844">
        <w:rPr>
          <w:rFonts w:cstheme="minorHAnsi"/>
          <w:sz w:val="24"/>
          <w:szCs w:val="24"/>
        </w:rPr>
        <w:t xml:space="preserve">damages to members of the class was not compensatory.  </w:t>
      </w:r>
      <w:r>
        <w:rPr>
          <w:rFonts w:cstheme="minorHAnsi"/>
          <w:sz w:val="24"/>
          <w:szCs w:val="24"/>
        </w:rPr>
        <w:t>Its approach on both matters was a surprise to the Applicant’s legal and economics team given the Canadian ‘lite’ certification process endorsed by the CAT.</w:t>
      </w:r>
    </w:p>
    <w:p w14:paraId="38284667" w14:textId="5C6B4D03" w:rsidR="000968FC" w:rsidRPr="002514E1" w:rsidRDefault="000968FC" w:rsidP="00512952">
      <w:pPr>
        <w:pStyle w:val="MazarsFISReport6"/>
        <w:numPr>
          <w:ilvl w:val="0"/>
          <w:numId w:val="0"/>
        </w:numPr>
        <w:spacing w:line="276" w:lineRule="auto"/>
        <w:ind w:right="237"/>
        <w:rPr>
          <w:rFonts w:asciiTheme="minorHAnsi" w:hAnsiTheme="minorHAnsi" w:cstheme="minorHAnsi"/>
          <w:b/>
          <w:color w:val="870000"/>
          <w:sz w:val="24"/>
          <w:szCs w:val="24"/>
        </w:rPr>
      </w:pPr>
      <w:r>
        <w:rPr>
          <w:rFonts w:asciiTheme="minorHAnsi" w:hAnsiTheme="minorHAnsi" w:cstheme="minorHAnsi"/>
          <w:b/>
          <w:color w:val="870000"/>
          <w:sz w:val="24"/>
          <w:szCs w:val="24"/>
        </w:rPr>
        <w:t xml:space="preserve">Data on </w:t>
      </w:r>
      <w:r w:rsidRPr="002514E1">
        <w:rPr>
          <w:rFonts w:asciiTheme="minorHAnsi" w:hAnsiTheme="minorHAnsi" w:cstheme="minorHAnsi"/>
          <w:b/>
          <w:color w:val="870000"/>
          <w:sz w:val="24"/>
          <w:szCs w:val="24"/>
        </w:rPr>
        <w:t>Pass-on</w:t>
      </w:r>
    </w:p>
    <w:p w14:paraId="7C21B754" w14:textId="0B33422F" w:rsidR="000968FC" w:rsidRPr="00FB4844" w:rsidRDefault="000968FC" w:rsidP="00512952">
      <w:pPr>
        <w:pStyle w:val="MazarsFISReport6"/>
        <w:numPr>
          <w:ilvl w:val="0"/>
          <w:numId w:val="0"/>
        </w:numPr>
        <w:spacing w:line="276" w:lineRule="auto"/>
        <w:ind w:right="237"/>
        <w:rPr>
          <w:rFonts w:asciiTheme="minorHAnsi" w:hAnsiTheme="minorHAnsi" w:cstheme="minorHAnsi"/>
          <w:sz w:val="24"/>
          <w:szCs w:val="24"/>
        </w:rPr>
      </w:pPr>
      <w:r w:rsidRPr="00FB4844">
        <w:rPr>
          <w:rFonts w:asciiTheme="minorHAnsi" w:hAnsiTheme="minorHAnsi" w:cstheme="minorHAnsi"/>
          <w:sz w:val="24"/>
          <w:szCs w:val="24"/>
        </w:rPr>
        <w:t xml:space="preserve">Central to the Applicant’s claim was that </w:t>
      </w:r>
      <w:r>
        <w:rPr>
          <w:rFonts w:asciiTheme="minorHAnsi" w:hAnsiTheme="minorHAnsi" w:cstheme="minorHAnsi"/>
          <w:sz w:val="24"/>
          <w:szCs w:val="24"/>
        </w:rPr>
        <w:t xml:space="preserve">the excessive interchange fees </w:t>
      </w:r>
      <w:r w:rsidRPr="00FB4844">
        <w:rPr>
          <w:rFonts w:asciiTheme="minorHAnsi" w:hAnsiTheme="minorHAnsi" w:cstheme="minorHAnsi"/>
          <w:sz w:val="24"/>
          <w:szCs w:val="24"/>
        </w:rPr>
        <w:t xml:space="preserve">had been passed on by merchants to their customers (the class) in higher prices.  </w:t>
      </w:r>
      <w:r>
        <w:rPr>
          <w:rFonts w:asciiTheme="minorHAnsi" w:hAnsiTheme="minorHAnsi" w:cstheme="minorHAnsi"/>
          <w:sz w:val="24"/>
          <w:szCs w:val="24"/>
        </w:rPr>
        <w:t>The Tribunal accepted that pass-on was a ‘common issue’ (at least implicitly) and the experts’ ‘top down’ methodology, but ‘were unpersuaded on the material before us that there is sufficient data available for this methodology to be applied on a sufficiently sound basis’.</w:t>
      </w:r>
      <w:r>
        <w:rPr>
          <w:rStyle w:val="FootnoteReference"/>
          <w:rFonts w:asciiTheme="minorHAnsi" w:hAnsiTheme="minorHAnsi" w:cstheme="minorHAnsi"/>
          <w:sz w:val="24"/>
          <w:szCs w:val="24"/>
        </w:rPr>
        <w:footnoteReference w:id="13"/>
      </w:r>
      <w:r>
        <w:rPr>
          <w:rFonts w:asciiTheme="minorHAnsi" w:hAnsiTheme="minorHAnsi" w:cstheme="minorHAnsi"/>
          <w:sz w:val="24"/>
          <w:szCs w:val="24"/>
        </w:rPr>
        <w:t xml:space="preserve">  Specifically:  </w:t>
      </w:r>
    </w:p>
    <w:p w14:paraId="36BDBAD7" w14:textId="39506332" w:rsidR="000968FC" w:rsidRDefault="000968FC" w:rsidP="00512952">
      <w:pPr>
        <w:pStyle w:val="Default"/>
        <w:tabs>
          <w:tab w:val="left" w:pos="8647"/>
          <w:tab w:val="left" w:pos="8789"/>
        </w:tabs>
        <w:spacing w:after="309"/>
        <w:ind w:left="720" w:right="237"/>
        <w:jc w:val="both"/>
        <w:rPr>
          <w:rFonts w:asciiTheme="minorHAnsi" w:hAnsiTheme="minorHAnsi" w:cstheme="minorHAnsi"/>
          <w:color w:val="auto"/>
        </w:rPr>
      </w:pPr>
      <w:r w:rsidRPr="00FB4844">
        <w:rPr>
          <w:rFonts w:asciiTheme="minorHAnsi" w:hAnsiTheme="minorHAnsi" w:cstheme="minorHAnsi"/>
          <w:color w:val="auto"/>
        </w:rPr>
        <w:t>We accept that in theory calculation of global loss through a weighted average pass-through, as explained in the evidence and as summarised above, is methodologically sound. But making every allowance for the need to estimate, extrapolate and adopt reasonable assumptions, to apply that method across virtually the entire UK retail sector over a period of 16 years is a hugely complex exercise requiring access to a wide range of data. We certainly would not expect that analysis to be carried out for the purpose of a CPO application, but a proper effort would have had to be made to determine whether it is practicable by ascertaining what data is reasonably available.</w:t>
      </w:r>
      <w:r w:rsidRPr="00FB4844">
        <w:rPr>
          <w:rStyle w:val="FootnoteReference"/>
          <w:rFonts w:asciiTheme="minorHAnsi" w:hAnsiTheme="minorHAnsi" w:cstheme="minorHAnsi"/>
          <w:color w:val="auto"/>
        </w:rPr>
        <w:footnoteReference w:id="14"/>
      </w:r>
      <w:r w:rsidRPr="00FB4844">
        <w:rPr>
          <w:rFonts w:asciiTheme="minorHAnsi" w:hAnsiTheme="minorHAnsi" w:cstheme="minorHAnsi"/>
          <w:color w:val="auto"/>
        </w:rPr>
        <w:t xml:space="preserve"> </w:t>
      </w:r>
    </w:p>
    <w:p w14:paraId="57AA8139" w14:textId="16B3384D" w:rsidR="000968FC" w:rsidRPr="00843F6E" w:rsidRDefault="000968FC" w:rsidP="00512952">
      <w:pPr>
        <w:pStyle w:val="Default"/>
        <w:tabs>
          <w:tab w:val="left" w:pos="8647"/>
          <w:tab w:val="left" w:pos="8789"/>
        </w:tabs>
        <w:spacing w:after="309" w:line="276" w:lineRule="auto"/>
        <w:ind w:right="237"/>
        <w:jc w:val="both"/>
        <w:rPr>
          <w:rFonts w:asciiTheme="minorHAnsi" w:eastAsia="Times New Roman" w:hAnsiTheme="minorHAnsi" w:cstheme="minorHAnsi"/>
          <w:lang w:eastAsia="en-GB"/>
        </w:rPr>
      </w:pPr>
      <w:r>
        <w:rPr>
          <w:rFonts w:asciiTheme="minorHAnsi" w:hAnsiTheme="minorHAnsi" w:cstheme="minorHAnsi"/>
        </w:rPr>
        <w:t>The Court of Appeal rejected this ground in its entirety.  The Applicant’s experts were not required to establish that data existed for all sectors and it was wrong to turn the CPO hearing into a ‘mini trial’</w:t>
      </w:r>
      <w:r>
        <w:rPr>
          <w:rStyle w:val="FootnoteReference"/>
          <w:rFonts w:asciiTheme="minorHAnsi" w:hAnsiTheme="minorHAnsi" w:cstheme="minorHAnsi"/>
        </w:rPr>
        <w:footnoteReference w:id="15"/>
      </w:r>
      <w:r w:rsidR="005708E6">
        <w:rPr>
          <w:rFonts w:asciiTheme="minorHAnsi" w:hAnsiTheme="minorHAnsi" w:cstheme="minorHAnsi"/>
        </w:rPr>
        <w:t xml:space="preserve"> as the CAT had</w:t>
      </w:r>
      <w:r>
        <w:rPr>
          <w:rFonts w:asciiTheme="minorHAnsi" w:hAnsiTheme="minorHAnsi" w:cstheme="minorHAnsi"/>
        </w:rPr>
        <w:t>:</w:t>
      </w:r>
    </w:p>
    <w:p w14:paraId="432C4D16" w14:textId="77777777" w:rsidR="000968FC" w:rsidRDefault="000968FC" w:rsidP="00512952">
      <w:pPr>
        <w:pStyle w:val="Default"/>
        <w:tabs>
          <w:tab w:val="left" w:pos="8647"/>
          <w:tab w:val="left" w:pos="8789"/>
        </w:tabs>
        <w:spacing w:after="309" w:line="276" w:lineRule="auto"/>
        <w:ind w:left="720" w:right="237"/>
        <w:jc w:val="both"/>
        <w:rPr>
          <w:rFonts w:asciiTheme="minorHAnsi" w:hAnsiTheme="minorHAnsi" w:cstheme="minorHAnsi"/>
        </w:rPr>
      </w:pPr>
      <w:r w:rsidRPr="00843F6E">
        <w:rPr>
          <w:rFonts w:asciiTheme="minorHAnsi" w:hAnsiTheme="minorHAnsi" w:cstheme="minorHAnsi"/>
        </w:rPr>
        <w:t xml:space="preserve">Although the CAT was entitled to satisfy itself that the experts’ proposed methodology was credible, it was not appropriate at the certification stage to require the proposed representative and his experts to specify in detail what data would be available for each of the relevant retail sectors in respect of the </w:t>
      </w:r>
      <w:r w:rsidRPr="00843F6E">
        <w:rPr>
          <w:rFonts w:asciiTheme="minorHAnsi" w:hAnsiTheme="minorHAnsi" w:cstheme="minorHAnsi"/>
        </w:rPr>
        <w:lastRenderedPageBreak/>
        <w:t>infringement period.   …. At the certification stage the question for the CAT was not what they were capable of proving had this been the trial of the action.</w:t>
      </w:r>
      <w:r w:rsidRPr="00843F6E">
        <w:rPr>
          <w:rStyle w:val="FootnoteReference"/>
          <w:rFonts w:asciiTheme="minorHAnsi" w:hAnsiTheme="minorHAnsi" w:cstheme="minorHAnsi"/>
        </w:rPr>
        <w:footnoteReference w:id="16"/>
      </w:r>
      <w:r w:rsidRPr="00843F6E">
        <w:rPr>
          <w:rFonts w:asciiTheme="minorHAnsi" w:hAnsiTheme="minorHAnsi" w:cstheme="minorHAnsi"/>
        </w:rPr>
        <w:t xml:space="preserve"> </w:t>
      </w:r>
    </w:p>
    <w:p w14:paraId="62D46B40" w14:textId="434B3160" w:rsidR="000968FC" w:rsidRPr="00FB4844" w:rsidRDefault="000968FC" w:rsidP="00512952">
      <w:pPr>
        <w:pStyle w:val="MazarsFISReport6"/>
        <w:numPr>
          <w:ilvl w:val="0"/>
          <w:numId w:val="0"/>
        </w:numPr>
        <w:spacing w:line="276" w:lineRule="auto"/>
        <w:ind w:right="237"/>
        <w:rPr>
          <w:rFonts w:asciiTheme="minorHAnsi" w:hAnsiTheme="minorHAnsi" w:cstheme="minorHAnsi"/>
          <w:sz w:val="24"/>
          <w:szCs w:val="24"/>
        </w:rPr>
      </w:pPr>
      <w:r>
        <w:rPr>
          <w:rFonts w:asciiTheme="minorHAnsi" w:hAnsiTheme="minorHAnsi" w:cstheme="minorHAnsi"/>
          <w:sz w:val="24"/>
          <w:szCs w:val="24"/>
        </w:rPr>
        <w:t xml:space="preserve">The Court of Appeal effectively reiterated the </w:t>
      </w:r>
      <w:r w:rsidRPr="00FB4844">
        <w:rPr>
          <w:rFonts w:asciiTheme="minorHAnsi" w:hAnsiTheme="minorHAnsi" w:cstheme="minorHAnsi"/>
          <w:i/>
          <w:sz w:val="24"/>
          <w:szCs w:val="24"/>
        </w:rPr>
        <w:t>Pro-Sys</w:t>
      </w:r>
      <w:r>
        <w:rPr>
          <w:rFonts w:asciiTheme="minorHAnsi" w:hAnsiTheme="minorHAnsi" w:cstheme="minorHAnsi"/>
          <w:i/>
          <w:sz w:val="24"/>
          <w:szCs w:val="24"/>
        </w:rPr>
        <w:t xml:space="preserve"> </w:t>
      </w:r>
      <w:r>
        <w:rPr>
          <w:rFonts w:asciiTheme="minorHAnsi" w:hAnsiTheme="minorHAnsi" w:cstheme="minorHAnsi"/>
          <w:sz w:val="24"/>
          <w:szCs w:val="24"/>
        </w:rPr>
        <w:t>test</w:t>
      </w:r>
      <w:r w:rsidRPr="00FB4844">
        <w:rPr>
          <w:rFonts w:asciiTheme="minorHAnsi" w:hAnsiTheme="minorHAnsi" w:cstheme="minorHAnsi"/>
          <w:sz w:val="24"/>
          <w:szCs w:val="24"/>
        </w:rPr>
        <w:t>:</w:t>
      </w:r>
    </w:p>
    <w:p w14:paraId="0A235DA8" w14:textId="5EC2D8B8" w:rsidR="000968FC" w:rsidRPr="00FB4844" w:rsidRDefault="000968FC" w:rsidP="00512952">
      <w:pPr>
        <w:spacing w:after="0"/>
        <w:ind w:left="720" w:right="237"/>
        <w:jc w:val="both"/>
        <w:rPr>
          <w:rFonts w:eastAsia="Times New Roman" w:cstheme="minorHAnsi"/>
          <w:sz w:val="24"/>
          <w:szCs w:val="24"/>
          <w:lang w:eastAsia="en-GB"/>
        </w:rPr>
      </w:pPr>
      <w:r w:rsidRPr="00FB4844">
        <w:rPr>
          <w:rFonts w:eastAsia="Times New Roman" w:cstheme="minorHAnsi"/>
          <w:sz w:val="24"/>
          <w:szCs w:val="24"/>
          <w:lang w:eastAsia="en-GB"/>
        </w:rPr>
        <w:t xml:space="preserve">The certification stage is not meant to be a test of the merits of the action, rather, this stage is concerned with form and with whether the action can properly proceed as a class action. </w:t>
      </w:r>
      <w:r>
        <w:rPr>
          <w:rFonts w:eastAsia="Times New Roman" w:cstheme="minorHAnsi"/>
          <w:sz w:val="24"/>
          <w:szCs w:val="24"/>
          <w:lang w:eastAsia="en-GB"/>
        </w:rPr>
        <w:t xml:space="preserve">… [It] </w:t>
      </w:r>
      <w:r w:rsidRPr="00FB4844">
        <w:rPr>
          <w:rFonts w:eastAsia="Times New Roman" w:cstheme="minorHAnsi"/>
          <w:sz w:val="24"/>
          <w:szCs w:val="24"/>
          <w:lang w:eastAsia="en-GB"/>
        </w:rPr>
        <w:t>does not involve an assessment of the merits of the claim and is not intended to be a pronouncement on the viability or strength of the action, rather, it focuses on the form of the action in order to determine whether the action can appropriately go forward as a class proceeding. Each case must be decided on its own facts. There must be sufficient facts to satisfy the applications judge that the conditions for certification have been met to a degree that should allow the matter to proceed on a class basis without foundering at the merits stage by reason of the requirements not having been met.</w:t>
      </w:r>
      <w:r w:rsidRPr="002514E1">
        <w:rPr>
          <w:rStyle w:val="FootnoteReference"/>
          <w:rFonts w:cstheme="minorHAnsi"/>
          <w:sz w:val="24"/>
          <w:szCs w:val="24"/>
        </w:rPr>
        <w:t xml:space="preserve"> </w:t>
      </w:r>
      <w:r w:rsidRPr="00FB4844">
        <w:rPr>
          <w:rStyle w:val="FootnoteReference"/>
          <w:rFonts w:cstheme="minorHAnsi"/>
          <w:sz w:val="24"/>
          <w:szCs w:val="24"/>
        </w:rPr>
        <w:footnoteReference w:id="17"/>
      </w:r>
    </w:p>
    <w:p w14:paraId="1A4ABFCF" w14:textId="77777777" w:rsidR="000968FC" w:rsidRDefault="000968FC" w:rsidP="00512952">
      <w:pPr>
        <w:pStyle w:val="Default"/>
        <w:tabs>
          <w:tab w:val="left" w:pos="8647"/>
          <w:tab w:val="left" w:pos="8789"/>
        </w:tabs>
        <w:ind w:right="237"/>
        <w:jc w:val="both"/>
        <w:rPr>
          <w:rFonts w:asciiTheme="minorHAnsi" w:eastAsia="Times New Roman" w:hAnsiTheme="minorHAnsi" w:cstheme="minorHAnsi"/>
          <w:lang w:eastAsia="en-GB"/>
        </w:rPr>
      </w:pPr>
    </w:p>
    <w:p w14:paraId="77766988" w14:textId="77777777" w:rsidR="005708E6" w:rsidRDefault="000968FC" w:rsidP="00512952">
      <w:pPr>
        <w:pStyle w:val="Default"/>
        <w:tabs>
          <w:tab w:val="left" w:pos="8647"/>
          <w:tab w:val="left" w:pos="8789"/>
        </w:tabs>
        <w:spacing w:after="309" w:line="276" w:lineRule="auto"/>
        <w:ind w:right="237"/>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 ’some basis in fact’ test set out in </w:t>
      </w:r>
      <w:r w:rsidRPr="00E4599E">
        <w:rPr>
          <w:rFonts w:asciiTheme="minorHAnsi" w:eastAsia="Times New Roman" w:hAnsiTheme="minorHAnsi" w:cstheme="minorHAnsi"/>
          <w:i/>
          <w:lang w:eastAsia="en-GB"/>
        </w:rPr>
        <w:t>Pro Sys</w:t>
      </w:r>
      <w:r>
        <w:rPr>
          <w:rFonts w:asciiTheme="minorHAnsi" w:eastAsia="Times New Roman" w:hAnsiTheme="minorHAnsi" w:cstheme="minorHAnsi"/>
          <w:lang w:eastAsia="en-GB"/>
        </w:rPr>
        <w:t xml:space="preserve"> ‘</w:t>
      </w:r>
      <w:r w:rsidRPr="002514E1">
        <w:rPr>
          <w:rFonts w:asciiTheme="minorHAnsi" w:eastAsia="Times New Roman" w:hAnsiTheme="minorHAnsi" w:cstheme="minorHAnsi"/>
          <w:lang w:eastAsia="en-GB"/>
        </w:rPr>
        <w:t>does not allow for an extensive assessment of the complexities and challenges that a plaintiff may face in establishing its case at trial.’</w:t>
      </w:r>
      <w:r w:rsidRPr="002514E1">
        <w:rPr>
          <w:rStyle w:val="FootnoteReference"/>
          <w:rFonts w:asciiTheme="minorHAnsi" w:eastAsia="Times New Roman" w:hAnsiTheme="minorHAnsi" w:cstheme="minorHAnsi"/>
          <w:lang w:eastAsia="en-GB"/>
        </w:rPr>
        <w:footnoteReference w:id="18"/>
      </w:r>
      <w:r w:rsidRPr="002514E1">
        <w:rPr>
          <w:rFonts w:asciiTheme="minorHAnsi" w:eastAsia="Times New Roman" w:hAnsiTheme="minorHAnsi" w:cstheme="minorHAnsi"/>
          <w:lang w:eastAsia="en-GB"/>
        </w:rPr>
        <w:t xml:space="preserve"> </w:t>
      </w:r>
    </w:p>
    <w:p w14:paraId="03AD9B23" w14:textId="7483984B" w:rsidR="000968FC" w:rsidRPr="00843F6E" w:rsidRDefault="000968FC" w:rsidP="00512952">
      <w:pPr>
        <w:pStyle w:val="Default"/>
        <w:tabs>
          <w:tab w:val="left" w:pos="8647"/>
          <w:tab w:val="left" w:pos="8789"/>
        </w:tabs>
        <w:spacing w:after="309" w:line="276" w:lineRule="auto"/>
        <w:ind w:right="237"/>
        <w:jc w:val="both"/>
        <w:rPr>
          <w:rFonts w:asciiTheme="minorHAnsi" w:hAnsiTheme="minorHAnsi" w:cstheme="minorHAnsi"/>
          <w:color w:val="auto"/>
        </w:rPr>
      </w:pPr>
      <w:r>
        <w:rPr>
          <w:rFonts w:asciiTheme="minorHAnsi" w:eastAsia="Times New Roman" w:hAnsiTheme="minorHAnsi" w:cstheme="minorHAnsi"/>
          <w:lang w:eastAsia="en-GB"/>
        </w:rPr>
        <w:t>The Court of Appeal set the test at no more than the action had ‘a real prospect of success’ equivalent to that for a strike out application.</w:t>
      </w:r>
      <w:r>
        <w:rPr>
          <w:rStyle w:val="FootnoteReference"/>
          <w:rFonts w:asciiTheme="minorHAnsi" w:eastAsia="Times New Roman" w:hAnsiTheme="minorHAnsi" w:cstheme="minorHAnsi"/>
          <w:lang w:eastAsia="en-GB"/>
        </w:rPr>
        <w:footnoteReference w:id="19"/>
      </w:r>
      <w:r>
        <w:rPr>
          <w:rFonts w:asciiTheme="minorHAnsi" w:eastAsia="Times New Roman" w:hAnsiTheme="minorHAnsi" w:cstheme="minorHAnsi"/>
          <w:lang w:eastAsia="en-GB"/>
        </w:rPr>
        <w:t xml:space="preserve">  </w:t>
      </w:r>
      <w:r w:rsidRPr="00843F6E">
        <w:rPr>
          <w:rFonts w:asciiTheme="minorHAnsi" w:eastAsia="Times New Roman" w:hAnsiTheme="minorHAnsi" w:cstheme="minorHAnsi"/>
          <w:lang w:eastAsia="en-GB"/>
        </w:rPr>
        <w:t xml:space="preserve"> </w:t>
      </w:r>
    </w:p>
    <w:p w14:paraId="39425B09" w14:textId="0CF603E6" w:rsidR="000968FC" w:rsidRPr="002514E1" w:rsidRDefault="000968FC" w:rsidP="00512952">
      <w:pPr>
        <w:pStyle w:val="MazarsFISReport6"/>
        <w:numPr>
          <w:ilvl w:val="0"/>
          <w:numId w:val="0"/>
        </w:numPr>
        <w:spacing w:line="276" w:lineRule="auto"/>
        <w:ind w:right="237"/>
        <w:rPr>
          <w:rFonts w:asciiTheme="minorHAnsi" w:hAnsiTheme="minorHAnsi" w:cstheme="minorHAnsi"/>
          <w:b/>
          <w:color w:val="870000"/>
          <w:sz w:val="24"/>
          <w:szCs w:val="24"/>
        </w:rPr>
      </w:pPr>
      <w:r w:rsidRPr="002514E1">
        <w:rPr>
          <w:rFonts w:asciiTheme="minorHAnsi" w:hAnsiTheme="minorHAnsi" w:cstheme="minorHAnsi"/>
          <w:b/>
          <w:color w:val="870000"/>
          <w:sz w:val="24"/>
          <w:szCs w:val="24"/>
        </w:rPr>
        <w:t>Compensation and Distribution</w:t>
      </w:r>
    </w:p>
    <w:p w14:paraId="1D8A1FA9" w14:textId="2F755F62" w:rsidR="000968FC" w:rsidRPr="00FB4844" w:rsidRDefault="000968FC" w:rsidP="00512952">
      <w:pPr>
        <w:pStyle w:val="MazarsFISReport6"/>
        <w:numPr>
          <w:ilvl w:val="0"/>
          <w:numId w:val="0"/>
        </w:numPr>
        <w:spacing w:line="276" w:lineRule="auto"/>
        <w:ind w:right="237"/>
        <w:rPr>
          <w:rFonts w:asciiTheme="minorHAnsi" w:hAnsiTheme="minorHAnsi" w:cstheme="minorHAnsi"/>
          <w:sz w:val="24"/>
          <w:szCs w:val="24"/>
        </w:rPr>
      </w:pPr>
      <w:r w:rsidRPr="00FB4844">
        <w:rPr>
          <w:rFonts w:asciiTheme="minorHAnsi" w:hAnsiTheme="minorHAnsi" w:cstheme="minorHAnsi"/>
          <w:sz w:val="24"/>
          <w:szCs w:val="24"/>
        </w:rPr>
        <w:t>The princip</w:t>
      </w:r>
      <w:r>
        <w:rPr>
          <w:rFonts w:asciiTheme="minorHAnsi" w:hAnsiTheme="minorHAnsi" w:cstheme="minorHAnsi"/>
          <w:sz w:val="24"/>
          <w:szCs w:val="24"/>
        </w:rPr>
        <w:t>le</w:t>
      </w:r>
      <w:r w:rsidRPr="00FB4844">
        <w:rPr>
          <w:rFonts w:asciiTheme="minorHAnsi" w:hAnsiTheme="minorHAnsi" w:cstheme="minorHAnsi"/>
          <w:sz w:val="24"/>
          <w:szCs w:val="24"/>
        </w:rPr>
        <w:t xml:space="preserve"> ground for the CAT’s rejection of Mr Merricks’ application was that the proposed method of distributing damages was not compensatory. </w:t>
      </w:r>
      <w:r>
        <w:rPr>
          <w:rFonts w:asciiTheme="minorHAnsi" w:hAnsiTheme="minorHAnsi" w:cstheme="minorHAnsi"/>
          <w:sz w:val="24"/>
          <w:szCs w:val="24"/>
        </w:rPr>
        <w:t xml:space="preserve">It said the method of disbursement </w:t>
      </w:r>
      <w:r w:rsidRPr="00FB4844">
        <w:rPr>
          <w:rFonts w:asciiTheme="minorHAnsi" w:hAnsiTheme="minorHAnsi" w:cstheme="minorHAnsi"/>
          <w:sz w:val="24"/>
          <w:szCs w:val="24"/>
        </w:rPr>
        <w:t>‘must approximate the loss suffered by each individual claimant from the aggregate loss calculated according to the applicant’s proposed method’.</w:t>
      </w:r>
      <w:r w:rsidRPr="00FB4844">
        <w:rPr>
          <w:rStyle w:val="FootnoteReference"/>
          <w:rFonts w:asciiTheme="minorHAnsi" w:hAnsiTheme="minorHAnsi" w:cstheme="minorHAnsi"/>
          <w:sz w:val="24"/>
          <w:szCs w:val="24"/>
        </w:rPr>
        <w:t xml:space="preserve"> </w:t>
      </w:r>
      <w:r w:rsidRPr="00FB4844">
        <w:rPr>
          <w:rStyle w:val="FootnoteReference"/>
          <w:rFonts w:asciiTheme="minorHAnsi" w:hAnsiTheme="minorHAnsi" w:cstheme="minorHAnsi"/>
          <w:sz w:val="24"/>
          <w:szCs w:val="24"/>
        </w:rPr>
        <w:footnoteReference w:id="20"/>
      </w:r>
      <w:r w:rsidRPr="00FB4844">
        <w:rPr>
          <w:rFonts w:asciiTheme="minorHAnsi" w:hAnsiTheme="minorHAnsi" w:cstheme="minorHAnsi"/>
          <w:sz w:val="24"/>
          <w:szCs w:val="24"/>
        </w:rPr>
        <w:t xml:space="preserve"> Mr Merricks proposed a </w:t>
      </w:r>
      <w:r w:rsidRPr="00114B8E">
        <w:rPr>
          <w:rFonts w:asciiTheme="minorHAnsi" w:hAnsiTheme="minorHAnsi" w:cstheme="minorHAnsi"/>
          <w:i/>
          <w:sz w:val="24"/>
          <w:szCs w:val="24"/>
        </w:rPr>
        <w:t>per capita</w:t>
      </w:r>
      <w:r w:rsidRPr="00FB4844">
        <w:rPr>
          <w:rFonts w:asciiTheme="minorHAnsi" w:hAnsiTheme="minorHAnsi" w:cstheme="minorHAnsi"/>
          <w:sz w:val="24"/>
          <w:szCs w:val="24"/>
        </w:rPr>
        <w:t xml:space="preserve"> award to each member of the class. </w:t>
      </w:r>
    </w:p>
    <w:p w14:paraId="41AB390B" w14:textId="5F81954F" w:rsidR="000968FC" w:rsidRPr="00FB4844" w:rsidRDefault="000968FC" w:rsidP="00512952">
      <w:pPr>
        <w:pStyle w:val="MazarsFISReport6"/>
        <w:numPr>
          <w:ilvl w:val="0"/>
          <w:numId w:val="0"/>
        </w:numPr>
        <w:spacing w:line="276" w:lineRule="auto"/>
        <w:ind w:right="237"/>
        <w:rPr>
          <w:rFonts w:asciiTheme="minorHAnsi" w:hAnsiTheme="minorHAnsi" w:cstheme="minorHAnsi"/>
          <w:sz w:val="24"/>
          <w:szCs w:val="24"/>
        </w:rPr>
      </w:pPr>
      <w:r>
        <w:rPr>
          <w:rFonts w:asciiTheme="minorHAnsi" w:hAnsiTheme="minorHAnsi" w:cstheme="minorHAnsi"/>
          <w:sz w:val="24"/>
          <w:szCs w:val="24"/>
        </w:rPr>
        <w:t>The Court of Appeal again comprehensively rejected the CAT’s position. F</w:t>
      </w:r>
      <w:r w:rsidRPr="00FB4844">
        <w:rPr>
          <w:rFonts w:asciiTheme="minorHAnsi" w:hAnsiTheme="minorHAnsi" w:cstheme="minorHAnsi"/>
          <w:sz w:val="24"/>
          <w:szCs w:val="24"/>
        </w:rPr>
        <w:t>irst</w:t>
      </w:r>
      <w:r>
        <w:rPr>
          <w:rFonts w:asciiTheme="minorHAnsi" w:hAnsiTheme="minorHAnsi" w:cstheme="minorHAnsi"/>
          <w:sz w:val="24"/>
          <w:szCs w:val="24"/>
        </w:rPr>
        <w:t xml:space="preserve">ly, </w:t>
      </w:r>
      <w:r w:rsidRPr="00FB4844">
        <w:rPr>
          <w:rFonts w:asciiTheme="minorHAnsi" w:hAnsiTheme="minorHAnsi" w:cstheme="minorHAnsi"/>
          <w:sz w:val="24"/>
          <w:szCs w:val="24"/>
        </w:rPr>
        <w:t xml:space="preserve">the </w:t>
      </w:r>
      <w:r>
        <w:rPr>
          <w:rFonts w:asciiTheme="minorHAnsi" w:hAnsiTheme="minorHAnsi" w:cstheme="minorHAnsi"/>
          <w:sz w:val="24"/>
          <w:szCs w:val="24"/>
        </w:rPr>
        <w:t xml:space="preserve">Competition Act section </w:t>
      </w:r>
      <w:r w:rsidRPr="00FB4844">
        <w:rPr>
          <w:rFonts w:asciiTheme="minorHAnsi" w:hAnsiTheme="minorHAnsi" w:cstheme="minorHAnsi"/>
          <w:sz w:val="24"/>
          <w:szCs w:val="24"/>
        </w:rPr>
        <w:t>47C(2)</w:t>
      </w:r>
      <w:r>
        <w:rPr>
          <w:rFonts w:asciiTheme="minorHAnsi" w:hAnsiTheme="minorHAnsi" w:cstheme="minorHAnsi"/>
          <w:sz w:val="24"/>
          <w:szCs w:val="24"/>
        </w:rPr>
        <w:t xml:space="preserve"> states that the </w:t>
      </w:r>
      <w:r w:rsidRPr="00FB4844">
        <w:rPr>
          <w:rFonts w:asciiTheme="minorHAnsi" w:hAnsiTheme="minorHAnsi" w:cstheme="minorHAnsi"/>
          <w:sz w:val="24"/>
          <w:szCs w:val="24"/>
        </w:rPr>
        <w:t xml:space="preserve">award of </w:t>
      </w:r>
      <w:r>
        <w:rPr>
          <w:rFonts w:asciiTheme="minorHAnsi" w:hAnsiTheme="minorHAnsi" w:cstheme="minorHAnsi"/>
          <w:sz w:val="24"/>
          <w:szCs w:val="24"/>
        </w:rPr>
        <w:t xml:space="preserve">aggregate </w:t>
      </w:r>
      <w:r w:rsidRPr="00FB4844">
        <w:rPr>
          <w:rFonts w:asciiTheme="minorHAnsi" w:hAnsiTheme="minorHAnsi" w:cstheme="minorHAnsi"/>
          <w:sz w:val="24"/>
          <w:szCs w:val="24"/>
        </w:rPr>
        <w:t xml:space="preserve">damages </w:t>
      </w:r>
      <w:r>
        <w:rPr>
          <w:rFonts w:asciiTheme="minorHAnsi" w:hAnsiTheme="minorHAnsi" w:cstheme="minorHAnsi"/>
          <w:sz w:val="24"/>
          <w:szCs w:val="24"/>
        </w:rPr>
        <w:t xml:space="preserve">does not need to be based on </w:t>
      </w:r>
      <w:r w:rsidRPr="00FB4844">
        <w:rPr>
          <w:rFonts w:asciiTheme="minorHAnsi" w:hAnsiTheme="minorHAnsi" w:cstheme="minorHAnsi"/>
          <w:sz w:val="24"/>
          <w:szCs w:val="24"/>
        </w:rPr>
        <w:t xml:space="preserve">an assessment of the amount of damages recoverable </w:t>
      </w:r>
      <w:r>
        <w:rPr>
          <w:rFonts w:asciiTheme="minorHAnsi" w:hAnsiTheme="minorHAnsi" w:cstheme="minorHAnsi"/>
          <w:sz w:val="24"/>
          <w:szCs w:val="24"/>
        </w:rPr>
        <w:t xml:space="preserve">by each represented individual. Secondly, </w:t>
      </w:r>
      <w:r w:rsidRPr="00FB4844">
        <w:rPr>
          <w:rFonts w:asciiTheme="minorHAnsi" w:hAnsiTheme="minorHAnsi" w:cstheme="minorHAnsi"/>
          <w:sz w:val="24"/>
          <w:szCs w:val="24"/>
        </w:rPr>
        <w:t xml:space="preserve">the CAT exceeded the certification requirements by taking into account, let alone making it a determining factor, how the award of aggregate damages was to be disbursed to members of the class.  </w:t>
      </w:r>
      <w:r>
        <w:rPr>
          <w:rFonts w:asciiTheme="minorHAnsi" w:hAnsiTheme="minorHAnsi" w:cstheme="minorHAnsi"/>
          <w:sz w:val="24"/>
          <w:szCs w:val="24"/>
        </w:rPr>
        <w:t xml:space="preserve">This was a matter for the trial judge. </w:t>
      </w:r>
    </w:p>
    <w:p w14:paraId="282D7D9D" w14:textId="59E0B8DA" w:rsidR="000968FC" w:rsidRPr="00FB4844" w:rsidRDefault="000968FC" w:rsidP="00512952">
      <w:pPr>
        <w:pStyle w:val="MazarsFISReport6"/>
        <w:numPr>
          <w:ilvl w:val="0"/>
          <w:numId w:val="0"/>
        </w:numPr>
        <w:spacing w:line="276" w:lineRule="auto"/>
        <w:ind w:right="237"/>
        <w:rPr>
          <w:rFonts w:asciiTheme="minorHAnsi" w:hAnsiTheme="minorHAnsi" w:cstheme="minorHAnsi"/>
          <w:sz w:val="24"/>
          <w:szCs w:val="24"/>
        </w:rPr>
      </w:pPr>
      <w:r w:rsidRPr="00FB4844">
        <w:rPr>
          <w:rFonts w:asciiTheme="minorHAnsi" w:hAnsiTheme="minorHAnsi" w:cstheme="minorHAnsi"/>
          <w:sz w:val="24"/>
          <w:szCs w:val="24"/>
        </w:rPr>
        <w:lastRenderedPageBreak/>
        <w:t xml:space="preserve">The CAT’s requirement that the individual disbursement of damages be compensatory raises huge evidential problems in a mass consumer action </w:t>
      </w:r>
      <w:r>
        <w:rPr>
          <w:rFonts w:asciiTheme="minorHAnsi" w:hAnsiTheme="minorHAnsi" w:cstheme="minorHAnsi"/>
          <w:sz w:val="24"/>
          <w:szCs w:val="24"/>
        </w:rPr>
        <w:t xml:space="preserve">like </w:t>
      </w:r>
      <w:r w:rsidRPr="00FB4844">
        <w:rPr>
          <w:rFonts w:asciiTheme="minorHAnsi" w:hAnsiTheme="minorHAnsi" w:cstheme="minorHAnsi"/>
          <w:i/>
          <w:sz w:val="24"/>
          <w:szCs w:val="24"/>
        </w:rPr>
        <w:t xml:space="preserve">Merricks.  </w:t>
      </w:r>
      <w:r w:rsidRPr="00FB4844">
        <w:rPr>
          <w:rFonts w:asciiTheme="minorHAnsi" w:hAnsiTheme="minorHAnsi" w:cstheme="minorHAnsi"/>
          <w:sz w:val="24"/>
          <w:szCs w:val="24"/>
        </w:rPr>
        <w:t>If, as the CAT concluded, detailed data is required on</w:t>
      </w:r>
      <w:r>
        <w:rPr>
          <w:rFonts w:asciiTheme="minorHAnsi" w:hAnsiTheme="minorHAnsi" w:cstheme="minorHAnsi"/>
          <w:sz w:val="24"/>
          <w:szCs w:val="24"/>
        </w:rPr>
        <w:t xml:space="preserve"> each</w:t>
      </w:r>
      <w:r w:rsidRPr="00FB4844">
        <w:rPr>
          <w:rFonts w:asciiTheme="minorHAnsi" w:hAnsiTheme="minorHAnsi" w:cstheme="minorHAnsi"/>
          <w:sz w:val="24"/>
          <w:szCs w:val="24"/>
        </w:rPr>
        <w:t xml:space="preserve"> individual consumer</w:t>
      </w:r>
      <w:r>
        <w:rPr>
          <w:rFonts w:asciiTheme="minorHAnsi" w:hAnsiTheme="minorHAnsi" w:cstheme="minorHAnsi"/>
          <w:sz w:val="24"/>
          <w:szCs w:val="24"/>
        </w:rPr>
        <w:t>’s</w:t>
      </w:r>
      <w:r w:rsidRPr="00FB4844">
        <w:rPr>
          <w:rFonts w:asciiTheme="minorHAnsi" w:hAnsiTheme="minorHAnsi" w:cstheme="minorHAnsi"/>
          <w:sz w:val="24"/>
          <w:szCs w:val="24"/>
        </w:rPr>
        <w:t xml:space="preserve"> transactions/purchases, then this would impose on the </w:t>
      </w:r>
      <w:r>
        <w:rPr>
          <w:rFonts w:asciiTheme="minorHAnsi" w:hAnsiTheme="minorHAnsi" w:cstheme="minorHAnsi"/>
          <w:sz w:val="24"/>
          <w:szCs w:val="24"/>
        </w:rPr>
        <w:t xml:space="preserve">representative </w:t>
      </w:r>
      <w:r w:rsidRPr="00FB4844">
        <w:rPr>
          <w:rFonts w:asciiTheme="minorHAnsi" w:hAnsiTheme="minorHAnsi" w:cstheme="minorHAnsi"/>
          <w:sz w:val="24"/>
          <w:szCs w:val="24"/>
        </w:rPr>
        <w:t xml:space="preserve">a huge and prohibitively expensive data collection exercise gathering of detailed data on cardholder and cash customers’ purchases by product, sector, merchant and time period.  </w:t>
      </w:r>
      <w:r>
        <w:rPr>
          <w:rFonts w:asciiTheme="minorHAnsi" w:hAnsiTheme="minorHAnsi" w:cstheme="minorHAnsi"/>
          <w:sz w:val="24"/>
          <w:szCs w:val="24"/>
        </w:rPr>
        <w:t>It also contradicted the CAT’s acceptance of the applicant’s ‘top down’ method of estimating pass-on. As the Court of Appeal observed: ‘once it had been accepted that aggregate damages can be awarded … it becomes difficult to justify a reversion to an individual loss calculation for the purposes of distribution’.</w:t>
      </w:r>
      <w:r>
        <w:rPr>
          <w:rStyle w:val="FootnoteReference"/>
          <w:rFonts w:asciiTheme="minorHAnsi" w:hAnsiTheme="minorHAnsi" w:cstheme="minorHAnsi"/>
          <w:sz w:val="24"/>
          <w:szCs w:val="24"/>
        </w:rPr>
        <w:footnoteReference w:id="21"/>
      </w:r>
    </w:p>
    <w:bookmarkEnd w:id="0"/>
    <w:p w14:paraId="06B85CD5" w14:textId="10431229" w:rsidR="00C87185" w:rsidRPr="004426B7" w:rsidRDefault="004426B7" w:rsidP="00FB4844">
      <w:pPr>
        <w:pStyle w:val="MazarsFISReport6"/>
        <w:numPr>
          <w:ilvl w:val="0"/>
          <w:numId w:val="0"/>
        </w:numPr>
        <w:spacing w:line="276" w:lineRule="auto"/>
        <w:ind w:right="237"/>
        <w:rPr>
          <w:rFonts w:asciiTheme="minorHAnsi" w:hAnsiTheme="minorHAnsi" w:cstheme="minorHAnsi"/>
          <w:b/>
          <w:bCs/>
          <w:color w:val="870000"/>
          <w:sz w:val="24"/>
          <w:szCs w:val="24"/>
        </w:rPr>
      </w:pPr>
      <w:r w:rsidRPr="004426B7">
        <w:rPr>
          <w:rFonts w:asciiTheme="minorHAnsi" w:hAnsiTheme="minorHAnsi" w:cstheme="minorHAnsi"/>
          <w:b/>
          <w:bCs/>
          <w:color w:val="870000"/>
          <w:sz w:val="24"/>
          <w:szCs w:val="24"/>
        </w:rPr>
        <w:t>Postscript</w:t>
      </w:r>
    </w:p>
    <w:p w14:paraId="5679CE2F" w14:textId="5C07FED0" w:rsidR="00D824AE" w:rsidRDefault="004426B7" w:rsidP="00FB4844">
      <w:pPr>
        <w:pStyle w:val="MazarsFISReport6"/>
        <w:numPr>
          <w:ilvl w:val="0"/>
          <w:numId w:val="0"/>
        </w:numPr>
        <w:spacing w:line="276" w:lineRule="auto"/>
        <w:ind w:right="237"/>
        <w:rPr>
          <w:rFonts w:asciiTheme="minorHAnsi" w:hAnsiTheme="minorHAnsi" w:cstheme="minorHAnsi"/>
          <w:szCs w:val="22"/>
          <w:shd w:val="clear" w:color="auto" w:fill="FFFFFF"/>
        </w:rPr>
      </w:pPr>
      <w:r w:rsidRPr="004426B7">
        <w:rPr>
          <w:rFonts w:asciiTheme="minorHAnsi" w:hAnsiTheme="minorHAnsi" w:cstheme="minorHAnsi"/>
          <w:szCs w:val="22"/>
          <w:shd w:val="clear" w:color="auto" w:fill="FFFFFF"/>
        </w:rPr>
        <w:t>On 25 July 2019, the Supreme Court ordered that Mastercard be given permission to appeal the Court of Appeal’s Judgment.</w:t>
      </w:r>
      <w:r>
        <w:rPr>
          <w:rFonts w:asciiTheme="minorHAnsi" w:hAnsiTheme="minorHAnsi" w:cstheme="minorHAnsi"/>
          <w:szCs w:val="22"/>
          <w:shd w:val="clear" w:color="auto" w:fill="FFFFFF"/>
        </w:rPr>
        <w:t xml:space="preserve"> This is likely to be hear</w:t>
      </w:r>
      <w:r w:rsidR="003B7DC1">
        <w:rPr>
          <w:rFonts w:asciiTheme="minorHAnsi" w:hAnsiTheme="minorHAnsi" w:cstheme="minorHAnsi"/>
          <w:szCs w:val="22"/>
          <w:shd w:val="clear" w:color="auto" w:fill="FFFFFF"/>
        </w:rPr>
        <w:t>d</w:t>
      </w:r>
      <w:r>
        <w:rPr>
          <w:rFonts w:asciiTheme="minorHAnsi" w:hAnsiTheme="minorHAnsi" w:cstheme="minorHAnsi"/>
          <w:szCs w:val="22"/>
          <w:shd w:val="clear" w:color="auto" w:fill="FFFFFF"/>
        </w:rPr>
        <w:t xml:space="preserve"> in </w:t>
      </w:r>
      <w:r w:rsidR="003B7DC1">
        <w:rPr>
          <w:rFonts w:asciiTheme="minorHAnsi" w:hAnsiTheme="minorHAnsi" w:cstheme="minorHAnsi"/>
          <w:szCs w:val="22"/>
          <w:shd w:val="clear" w:color="auto" w:fill="FFFFFF"/>
        </w:rPr>
        <w:t>mid-</w:t>
      </w:r>
      <w:r>
        <w:rPr>
          <w:rFonts w:asciiTheme="minorHAnsi" w:hAnsiTheme="minorHAnsi" w:cstheme="minorHAnsi"/>
          <w:szCs w:val="22"/>
          <w:shd w:val="clear" w:color="auto" w:fill="FFFFFF"/>
        </w:rPr>
        <w:t xml:space="preserve">2020 with judgment not expected until 2021. In the meantime, this places the present CPO application process in limbo as it is unclear </w:t>
      </w:r>
      <w:r w:rsidR="00810292">
        <w:rPr>
          <w:rFonts w:asciiTheme="minorHAnsi" w:hAnsiTheme="minorHAnsi" w:cstheme="minorHAnsi"/>
          <w:szCs w:val="22"/>
          <w:shd w:val="clear" w:color="auto" w:fill="FFFFFF"/>
        </w:rPr>
        <w:t xml:space="preserve">how those applying for a CPO are required to establish. Mastercard will no doubt to arguing that the bar set by the Court of Appeal is much too low amounting to no more, to use the words from Pro Sys, than symbolic.  But there should be misconception that the stakes are considerable as success at the certification stage is paramount for class actions as it significantly alters the bargaining chips in favour of the class.  </w:t>
      </w:r>
    </w:p>
    <w:p w14:paraId="39C74AE1" w14:textId="77777777" w:rsidR="00D824AE" w:rsidRDefault="00D824AE">
      <w:pPr>
        <w:rPr>
          <w:rFonts w:eastAsia="Times New Roman" w:cstheme="minorHAnsi"/>
          <w:shd w:val="clear" w:color="auto" w:fill="FFFFFF"/>
        </w:rPr>
      </w:pPr>
      <w:r>
        <w:rPr>
          <w:rFonts w:cstheme="minorHAnsi"/>
          <w:shd w:val="clear" w:color="auto" w:fill="FFFFFF"/>
        </w:rPr>
        <w:br w:type="page"/>
      </w:r>
    </w:p>
    <w:p w14:paraId="3CA06B65" w14:textId="339CC78A" w:rsidR="00D824AE" w:rsidRDefault="00D824AE" w:rsidP="00D824AE">
      <w:pPr>
        <w:autoSpaceDE w:val="0"/>
        <w:autoSpaceDN w:val="0"/>
        <w:adjustRightInd w:val="0"/>
        <w:ind w:right="-18"/>
        <w:jc w:val="both"/>
        <w:rPr>
          <w:rFonts w:cstheme="minorHAnsi"/>
        </w:rPr>
      </w:pPr>
    </w:p>
    <w:p w14:paraId="209FDB11" w14:textId="2FA3DE2A" w:rsidR="00D824AE" w:rsidRDefault="00D824AE" w:rsidP="00D824AE">
      <w:pPr>
        <w:autoSpaceDE w:val="0"/>
        <w:autoSpaceDN w:val="0"/>
        <w:adjustRightInd w:val="0"/>
        <w:ind w:right="-18"/>
        <w:jc w:val="both"/>
        <w:rPr>
          <w:rFonts w:cstheme="minorHAnsi"/>
        </w:rPr>
      </w:pPr>
    </w:p>
    <w:p w14:paraId="3C8EB392" w14:textId="498BB85D" w:rsidR="00D824AE" w:rsidRDefault="00D824AE" w:rsidP="00D824AE">
      <w:pPr>
        <w:autoSpaceDE w:val="0"/>
        <w:autoSpaceDN w:val="0"/>
        <w:adjustRightInd w:val="0"/>
        <w:ind w:right="-18"/>
        <w:jc w:val="both"/>
        <w:rPr>
          <w:rFonts w:cstheme="minorHAnsi"/>
        </w:rPr>
      </w:pPr>
    </w:p>
    <w:p w14:paraId="102C96D6" w14:textId="19A35B6C" w:rsidR="00D824AE" w:rsidRDefault="00D824AE" w:rsidP="00D824AE">
      <w:pPr>
        <w:autoSpaceDE w:val="0"/>
        <w:autoSpaceDN w:val="0"/>
        <w:adjustRightInd w:val="0"/>
        <w:ind w:right="-18"/>
        <w:jc w:val="both"/>
        <w:rPr>
          <w:rFonts w:cstheme="minorHAnsi"/>
        </w:rPr>
      </w:pPr>
      <w:bookmarkStart w:id="1" w:name="_GoBack"/>
      <w:bookmarkEnd w:id="1"/>
    </w:p>
    <w:p w14:paraId="2AF7033F" w14:textId="61444686" w:rsidR="00D824AE" w:rsidRDefault="00D824AE" w:rsidP="00D824AE">
      <w:pPr>
        <w:autoSpaceDE w:val="0"/>
        <w:autoSpaceDN w:val="0"/>
        <w:adjustRightInd w:val="0"/>
        <w:ind w:right="-18"/>
        <w:jc w:val="both"/>
        <w:rPr>
          <w:rFonts w:cstheme="minorHAnsi"/>
        </w:rPr>
      </w:pPr>
    </w:p>
    <w:p w14:paraId="13527D31" w14:textId="5E99739A" w:rsidR="00D824AE" w:rsidRDefault="00D824AE" w:rsidP="00D824AE">
      <w:pPr>
        <w:autoSpaceDE w:val="0"/>
        <w:autoSpaceDN w:val="0"/>
        <w:adjustRightInd w:val="0"/>
        <w:ind w:right="-18"/>
        <w:jc w:val="both"/>
        <w:rPr>
          <w:rFonts w:cstheme="minorHAnsi"/>
        </w:rPr>
      </w:pPr>
    </w:p>
    <w:p w14:paraId="3FF4BAA1" w14:textId="2AA88A9B" w:rsidR="00D824AE" w:rsidRDefault="00D824AE" w:rsidP="00D824AE">
      <w:pPr>
        <w:autoSpaceDE w:val="0"/>
        <w:autoSpaceDN w:val="0"/>
        <w:adjustRightInd w:val="0"/>
        <w:ind w:right="-18"/>
        <w:jc w:val="both"/>
        <w:rPr>
          <w:rFonts w:cstheme="minorHAnsi"/>
        </w:rPr>
      </w:pPr>
    </w:p>
    <w:p w14:paraId="1EDA272A" w14:textId="321D3B58" w:rsidR="00D824AE" w:rsidRDefault="00D824AE" w:rsidP="00D824AE">
      <w:pPr>
        <w:autoSpaceDE w:val="0"/>
        <w:autoSpaceDN w:val="0"/>
        <w:adjustRightInd w:val="0"/>
        <w:ind w:right="-18"/>
        <w:jc w:val="both"/>
        <w:rPr>
          <w:rFonts w:cstheme="minorHAnsi"/>
        </w:rPr>
      </w:pPr>
    </w:p>
    <w:p w14:paraId="267A6494" w14:textId="77777777" w:rsidR="00D824AE" w:rsidRPr="0017467F" w:rsidRDefault="00D824AE" w:rsidP="00D824AE">
      <w:pPr>
        <w:autoSpaceDE w:val="0"/>
        <w:autoSpaceDN w:val="0"/>
        <w:adjustRightInd w:val="0"/>
        <w:ind w:right="-18"/>
        <w:jc w:val="both"/>
        <w:rPr>
          <w:rFonts w:cstheme="minorHAnsi"/>
        </w:rPr>
      </w:pPr>
    </w:p>
    <w:p w14:paraId="7144CF9D" w14:textId="77777777" w:rsidR="00D824AE" w:rsidRDefault="00D824AE" w:rsidP="00D824AE">
      <w:pPr>
        <w:tabs>
          <w:tab w:val="center" w:pos="4802"/>
          <w:tab w:val="left" w:pos="6540"/>
          <w:tab w:val="left" w:pos="7260"/>
        </w:tabs>
        <w:ind w:left="567" w:right="391"/>
        <w:rPr>
          <w:noProof/>
          <w:lang w:eastAsia="en-GB"/>
        </w:rPr>
      </w:pPr>
    </w:p>
    <w:p w14:paraId="77DDB6A3" w14:textId="77777777" w:rsidR="00D824AE" w:rsidRPr="0017467F" w:rsidRDefault="00D824AE" w:rsidP="00D824AE">
      <w:pPr>
        <w:autoSpaceDE w:val="0"/>
        <w:autoSpaceDN w:val="0"/>
        <w:adjustRightInd w:val="0"/>
        <w:ind w:right="-727"/>
        <w:jc w:val="both"/>
        <w:rPr>
          <w:rFonts w:cstheme="minorHAnsi"/>
          <w:noProof/>
          <w:lang w:eastAsia="en-GB"/>
        </w:rPr>
      </w:pPr>
      <w:r>
        <w:rPr>
          <w:noProof/>
          <w:lang w:eastAsia="en-GB"/>
        </w:rPr>
        <mc:AlternateContent>
          <mc:Choice Requires="wps">
            <w:drawing>
              <wp:anchor distT="0" distB="0" distL="114300" distR="114300" simplePos="0" relativeHeight="251659264" behindDoc="0" locked="0" layoutInCell="1" allowOverlap="1" wp14:anchorId="1CBCD4F7" wp14:editId="1342C6D3">
                <wp:simplePos x="0" y="0"/>
                <wp:positionH relativeFrom="margin">
                  <wp:align>right</wp:align>
                </wp:positionH>
                <wp:positionV relativeFrom="paragraph">
                  <wp:posOffset>56515</wp:posOffset>
                </wp:positionV>
                <wp:extent cx="5610225" cy="994410"/>
                <wp:effectExtent l="0" t="0" r="28575" b="152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94410"/>
                        </a:xfrm>
                        <a:prstGeom prst="rect">
                          <a:avLst/>
                        </a:prstGeom>
                        <a:solidFill>
                          <a:srgbClr val="FFFFFF"/>
                        </a:solidFill>
                        <a:ln w="12700">
                          <a:solidFill>
                            <a:srgbClr val="800000"/>
                          </a:solidFill>
                          <a:miter lim="800000"/>
                          <a:headEnd/>
                          <a:tailEnd/>
                        </a:ln>
                      </wps:spPr>
                      <wps:txbx>
                        <w:txbxContent>
                          <w:p w14:paraId="16E5E683" w14:textId="77777777" w:rsidR="00D824AE" w:rsidRPr="00460F12" w:rsidRDefault="00D824AE" w:rsidP="00D824AE">
                            <w:pPr>
                              <w:shd w:val="clear" w:color="auto" w:fill="F2F2F2" w:themeFill="background1" w:themeFillShade="F2"/>
                              <w:jc w:val="center"/>
                              <w:rPr>
                                <w:rFonts w:ascii="Times New Roman Bold" w:hAnsi="Times New Roman Bold" w:cs="Times New Roman Bold"/>
                                <w:b/>
                                <w:color w:val="800000"/>
                                <w:sz w:val="24"/>
                              </w:rPr>
                            </w:pPr>
                            <w:r w:rsidRPr="00460F12">
                              <w:rPr>
                                <w:rFonts w:ascii="Times New Roman Bold" w:hAnsi="Times New Roman Bold" w:cs="Times New Roman Bold"/>
                                <w:b/>
                                <w:color w:val="800000"/>
                                <w:sz w:val="24"/>
                              </w:rPr>
                              <w:t>CASE ASSOCIATES</w:t>
                            </w:r>
                          </w:p>
                          <w:p w14:paraId="0CC8FB32" w14:textId="77777777" w:rsidR="00D824AE" w:rsidRPr="00460F12" w:rsidRDefault="00D824AE" w:rsidP="00D824AE">
                            <w:pPr>
                              <w:pStyle w:val="BodyText"/>
                              <w:shd w:val="clear" w:color="auto" w:fill="F2F2F2" w:themeFill="background1" w:themeFillShade="F2"/>
                              <w:jc w:val="center"/>
                              <w:rPr>
                                <w:sz w:val="16"/>
                                <w:szCs w:val="16"/>
                              </w:rPr>
                            </w:pPr>
                            <w:r w:rsidRPr="00460F12">
                              <w:rPr>
                                <w:sz w:val="16"/>
                                <w:szCs w:val="16"/>
                              </w:rPr>
                              <w:t xml:space="preserve">provide economic and empirical assistance in competition and regulatory proceedings, and litigation and arbitration. </w:t>
                            </w:r>
                            <w:r w:rsidRPr="00460F12">
                              <w:rPr>
                                <w:sz w:val="16"/>
                                <w:szCs w:val="16"/>
                              </w:rPr>
                              <w:br/>
                              <w:t xml:space="preserve">A description of Case’s services together with earlier publications can be found at </w:t>
                            </w:r>
                            <w:r w:rsidRPr="00460F12">
                              <w:rPr>
                                <w:rFonts w:ascii="Times New Roman Bold" w:hAnsi="Times New Roman Bold" w:cs="Times New Roman Bold"/>
                                <w:b/>
                                <w:color w:val="800000"/>
                                <w:sz w:val="16"/>
                                <w:szCs w:val="16"/>
                              </w:rPr>
                              <w:t>www.casecon.com</w:t>
                            </w:r>
                            <w:r w:rsidRPr="00460F12">
                              <w:rPr>
                                <w:sz w:val="16"/>
                                <w:szCs w:val="16"/>
                              </w:rPr>
                              <w:t xml:space="preserve">. </w:t>
                            </w:r>
                            <w:r w:rsidRPr="00460F12">
                              <w:rPr>
                                <w:sz w:val="16"/>
                                <w:szCs w:val="16"/>
                              </w:rPr>
                              <w:br/>
                              <w:t>For further information or to discuss a specific assignment contact:</w:t>
                            </w:r>
                          </w:p>
                          <w:p w14:paraId="15596B35" w14:textId="77777777" w:rsidR="00D824AE" w:rsidRPr="00460F12" w:rsidRDefault="00D824AE" w:rsidP="00D824AE">
                            <w:pPr>
                              <w:pStyle w:val="BodyText"/>
                              <w:shd w:val="clear" w:color="auto" w:fill="F2F2F2" w:themeFill="background1" w:themeFillShade="F2"/>
                              <w:jc w:val="center"/>
                              <w:rPr>
                                <w:sz w:val="16"/>
                                <w:szCs w:val="16"/>
                              </w:rPr>
                            </w:pPr>
                          </w:p>
                          <w:p w14:paraId="22729304" w14:textId="77777777" w:rsidR="00D824AE" w:rsidRDefault="00D824AE" w:rsidP="00D824AE">
                            <w:pPr>
                              <w:shd w:val="clear" w:color="auto" w:fill="F2F2F2" w:themeFill="background1" w:themeFillShade="F2"/>
                              <w:jc w:val="center"/>
                              <w:rPr>
                                <w:rFonts w:ascii="Times New Roman Bold" w:hAnsi="Times New Roman Bold"/>
                                <w:b/>
                                <w:sz w:val="16"/>
                                <w:szCs w:val="16"/>
                                <w:lang w:val="pt-BR"/>
                              </w:rPr>
                            </w:pPr>
                            <w:r w:rsidRPr="00460F12">
                              <w:rPr>
                                <w:b/>
                                <w:color w:val="800000"/>
                                <w:sz w:val="16"/>
                                <w:szCs w:val="16"/>
                                <w:lang w:val="pt-BR"/>
                              </w:rPr>
                              <w:t>Dr Cento Veljanovski</w:t>
                            </w:r>
                            <w:r w:rsidRPr="00460F12">
                              <w:rPr>
                                <w:b/>
                                <w:sz w:val="16"/>
                                <w:szCs w:val="16"/>
                                <w:lang w:val="pt-BR"/>
                              </w:rPr>
                              <w:t xml:space="preserve"> +44 (0) 20 7376 4418 or </w:t>
                            </w:r>
                            <w:hyperlink r:id="rId9" w:history="1">
                              <w:r w:rsidRPr="00460F12">
                                <w:rPr>
                                  <w:rStyle w:val="Hyperlink"/>
                                  <w:b/>
                                  <w:sz w:val="16"/>
                                  <w:szCs w:val="16"/>
                                  <w:lang w:val="pt-BR"/>
                                </w:rPr>
                                <w:t>cento</w:t>
                              </w:r>
                              <w:r w:rsidRPr="00460F12">
                                <w:rPr>
                                  <w:rStyle w:val="Hyperlink"/>
                                  <w:rFonts w:ascii="Times New Roman Bold" w:hAnsi="Times New Roman Bold"/>
                                  <w:b/>
                                  <w:sz w:val="16"/>
                                  <w:szCs w:val="16"/>
                                  <w:lang w:val="pt-BR"/>
                                </w:rPr>
                                <w:t>@casecon.com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CD4F7" id="_x0000_t202" coordsize="21600,21600" o:spt="202" path="m,l,21600r21600,l21600,xe">
                <v:stroke joinstyle="miter"/>
                <v:path gradientshapeok="t" o:connecttype="rect"/>
              </v:shapetype>
              <v:shape id="Text Box 15" o:spid="_x0000_s1026" type="#_x0000_t202" style="position:absolute;left:0;text-align:left;margin-left:390.55pt;margin-top:4.45pt;width:441.75pt;height:78.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" strokecolor="maroon" strokeweight="1pt">
                <v:textbox>
                  <w:txbxContent>
                    <w:p w14:paraId="16E5E683" w14:textId="77777777" w:rsidR="00D824AE" w:rsidRPr="00460F12" w:rsidRDefault="00D824AE" w:rsidP="00D824AE">
                      <w:pPr>
                        <w:shd w:val="clear" w:color="auto" w:fill="F2F2F2" w:themeFill="background1" w:themeFillShade="F2"/>
                        <w:jc w:val="center"/>
                        <w:rPr>
                          <w:rFonts w:ascii="Times New Roman Bold" w:hAnsi="Times New Roman Bold" w:cs="Times New Roman Bold"/>
                          <w:b/>
                          <w:color w:val="800000"/>
                          <w:sz w:val="24"/>
                        </w:rPr>
                      </w:pPr>
                      <w:r w:rsidRPr="00460F12">
                        <w:rPr>
                          <w:rFonts w:ascii="Times New Roman Bold" w:hAnsi="Times New Roman Bold" w:cs="Times New Roman Bold"/>
                          <w:b/>
                          <w:color w:val="800000"/>
                          <w:sz w:val="24"/>
                        </w:rPr>
                        <w:t>CASE ASSOCIATES</w:t>
                      </w:r>
                    </w:p>
                    <w:p w14:paraId="0CC8FB32" w14:textId="77777777" w:rsidR="00D824AE" w:rsidRPr="00460F12" w:rsidRDefault="00D824AE" w:rsidP="00D824AE">
                      <w:pPr>
                        <w:pStyle w:val="BodyText"/>
                        <w:shd w:val="clear" w:color="auto" w:fill="F2F2F2" w:themeFill="background1" w:themeFillShade="F2"/>
                        <w:jc w:val="center"/>
                        <w:rPr>
                          <w:sz w:val="16"/>
                          <w:szCs w:val="16"/>
                        </w:rPr>
                      </w:pPr>
                      <w:r w:rsidRPr="00460F12">
                        <w:rPr>
                          <w:sz w:val="16"/>
                          <w:szCs w:val="16"/>
                        </w:rPr>
                        <w:t xml:space="preserve">provide economic and empirical assistance in competition and regulatory proceedings, and litigation and arbitration. </w:t>
                      </w:r>
                      <w:r w:rsidRPr="00460F12">
                        <w:rPr>
                          <w:sz w:val="16"/>
                          <w:szCs w:val="16"/>
                        </w:rPr>
                        <w:br/>
                        <w:t xml:space="preserve">A description of Case’s services together with earlier publications can be found at </w:t>
                      </w:r>
                      <w:r w:rsidRPr="00460F12">
                        <w:rPr>
                          <w:rFonts w:ascii="Times New Roman Bold" w:hAnsi="Times New Roman Bold" w:cs="Times New Roman Bold"/>
                          <w:b/>
                          <w:color w:val="800000"/>
                          <w:sz w:val="16"/>
                          <w:szCs w:val="16"/>
                        </w:rPr>
                        <w:t>www.casecon.com</w:t>
                      </w:r>
                      <w:r w:rsidRPr="00460F12">
                        <w:rPr>
                          <w:sz w:val="16"/>
                          <w:szCs w:val="16"/>
                        </w:rPr>
                        <w:t xml:space="preserve">. </w:t>
                      </w:r>
                      <w:r w:rsidRPr="00460F12">
                        <w:rPr>
                          <w:sz w:val="16"/>
                          <w:szCs w:val="16"/>
                        </w:rPr>
                        <w:br/>
                        <w:t>For further information or to discuss a specific assignment contact:</w:t>
                      </w:r>
                    </w:p>
                    <w:p w14:paraId="15596B35" w14:textId="77777777" w:rsidR="00D824AE" w:rsidRPr="00460F12" w:rsidRDefault="00D824AE" w:rsidP="00D824AE">
                      <w:pPr>
                        <w:pStyle w:val="BodyText"/>
                        <w:shd w:val="clear" w:color="auto" w:fill="F2F2F2" w:themeFill="background1" w:themeFillShade="F2"/>
                        <w:jc w:val="center"/>
                        <w:rPr>
                          <w:sz w:val="16"/>
                          <w:szCs w:val="16"/>
                        </w:rPr>
                      </w:pPr>
                    </w:p>
                    <w:p w14:paraId="22729304" w14:textId="77777777" w:rsidR="00D824AE" w:rsidRDefault="00D824AE" w:rsidP="00D824AE">
                      <w:pPr>
                        <w:shd w:val="clear" w:color="auto" w:fill="F2F2F2" w:themeFill="background1" w:themeFillShade="F2"/>
                        <w:jc w:val="center"/>
                        <w:rPr>
                          <w:rFonts w:ascii="Times New Roman Bold" w:hAnsi="Times New Roman Bold"/>
                          <w:b/>
                          <w:sz w:val="16"/>
                          <w:szCs w:val="16"/>
                          <w:lang w:val="pt-BR"/>
                        </w:rPr>
                      </w:pPr>
                      <w:r w:rsidRPr="00460F12">
                        <w:rPr>
                          <w:b/>
                          <w:color w:val="800000"/>
                          <w:sz w:val="16"/>
                          <w:szCs w:val="16"/>
                          <w:lang w:val="pt-BR"/>
                        </w:rPr>
                        <w:t>Dr Cento Veljanovski</w:t>
                      </w:r>
                      <w:r w:rsidRPr="00460F12">
                        <w:rPr>
                          <w:b/>
                          <w:sz w:val="16"/>
                          <w:szCs w:val="16"/>
                          <w:lang w:val="pt-BR"/>
                        </w:rPr>
                        <w:t xml:space="preserve"> +44 (0) 20 7376 4418 or </w:t>
                      </w:r>
                      <w:hyperlink r:id="rId10" w:history="1">
                        <w:r w:rsidRPr="00460F12">
                          <w:rPr>
                            <w:rStyle w:val="Hyperlink"/>
                            <w:b/>
                            <w:sz w:val="16"/>
                            <w:szCs w:val="16"/>
                            <w:lang w:val="pt-BR"/>
                          </w:rPr>
                          <w:t>cento</w:t>
                        </w:r>
                        <w:r w:rsidRPr="00460F12">
                          <w:rPr>
                            <w:rStyle w:val="Hyperlink"/>
                            <w:rFonts w:ascii="Times New Roman Bold" w:hAnsi="Times New Roman Bold"/>
                            <w:b/>
                            <w:sz w:val="16"/>
                            <w:szCs w:val="16"/>
                            <w:lang w:val="pt-BR"/>
                          </w:rPr>
                          <w:t>@casecon.com</w:t>
                        </w:r>
                      </w:hyperlink>
                    </w:p>
                  </w:txbxContent>
                </v:textbox>
                <w10:wrap anchorx="margin"/>
              </v:shape>
            </w:pict>
          </mc:Fallback>
        </mc:AlternateContent>
      </w:r>
    </w:p>
    <w:p w14:paraId="0FB48E1E" w14:textId="77777777" w:rsidR="00D824AE" w:rsidRPr="0017467F" w:rsidRDefault="00D824AE" w:rsidP="00D824AE">
      <w:pPr>
        <w:tabs>
          <w:tab w:val="center" w:pos="4802"/>
          <w:tab w:val="left" w:pos="6540"/>
          <w:tab w:val="left" w:pos="7260"/>
        </w:tabs>
        <w:rPr>
          <w:rFonts w:cstheme="minorHAnsi"/>
          <w:b/>
          <w:noProof/>
          <w:color w:val="632423" w:themeColor="accent2" w:themeShade="80"/>
          <w:lang w:eastAsia="en-GB"/>
        </w:rPr>
      </w:pPr>
    </w:p>
    <w:p w14:paraId="3BD45685" w14:textId="77777777" w:rsidR="004426B7" w:rsidRPr="004426B7" w:rsidRDefault="004426B7" w:rsidP="00FB4844">
      <w:pPr>
        <w:pStyle w:val="MazarsFISReport6"/>
        <w:numPr>
          <w:ilvl w:val="0"/>
          <w:numId w:val="0"/>
        </w:numPr>
        <w:spacing w:line="276" w:lineRule="auto"/>
        <w:ind w:right="237"/>
        <w:rPr>
          <w:rFonts w:asciiTheme="minorHAnsi" w:hAnsiTheme="minorHAnsi" w:cstheme="minorHAnsi"/>
          <w:szCs w:val="22"/>
        </w:rPr>
      </w:pPr>
    </w:p>
    <w:sectPr w:rsidR="004426B7" w:rsidRPr="004426B7" w:rsidSect="00BD203F">
      <w:footerReference w:type="default" r:id="rId11"/>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73335" w14:textId="77777777" w:rsidR="00E13684" w:rsidRDefault="00E13684" w:rsidP="00A534B3">
      <w:pPr>
        <w:spacing w:after="0" w:line="240" w:lineRule="auto"/>
      </w:pPr>
      <w:r>
        <w:separator/>
      </w:r>
    </w:p>
  </w:endnote>
  <w:endnote w:type="continuationSeparator" w:id="0">
    <w:p w14:paraId="009103B6" w14:textId="77777777" w:rsidR="00E13684" w:rsidRDefault="00E13684" w:rsidP="00A5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36868"/>
      <w:docPartObj>
        <w:docPartGallery w:val="Page Numbers (Bottom of Page)"/>
        <w:docPartUnique/>
      </w:docPartObj>
    </w:sdtPr>
    <w:sdtEndPr>
      <w:rPr>
        <w:rFonts w:cstheme="minorHAnsi"/>
        <w:color w:val="7F7F7F" w:themeColor="background1" w:themeShade="7F"/>
        <w:spacing w:val="60"/>
        <w:sz w:val="20"/>
        <w:szCs w:val="20"/>
      </w:rPr>
    </w:sdtEndPr>
    <w:sdtContent>
      <w:p w14:paraId="2672003B" w14:textId="017D523F" w:rsidR="00E13684" w:rsidRPr="00BD203F" w:rsidRDefault="00E13684">
        <w:pPr>
          <w:pStyle w:val="Footer"/>
          <w:pBdr>
            <w:top w:val="single" w:sz="4" w:space="1" w:color="D9D9D9" w:themeColor="background1" w:themeShade="D9"/>
          </w:pBdr>
          <w:jc w:val="right"/>
          <w:rPr>
            <w:rFonts w:cstheme="minorHAnsi"/>
            <w:sz w:val="20"/>
            <w:szCs w:val="20"/>
          </w:rPr>
        </w:pPr>
        <w:r w:rsidRPr="00BD203F">
          <w:rPr>
            <w:rFonts w:cstheme="minorHAnsi"/>
            <w:sz w:val="20"/>
            <w:szCs w:val="20"/>
          </w:rPr>
          <w:fldChar w:fldCharType="begin"/>
        </w:r>
        <w:r w:rsidRPr="00BD203F">
          <w:rPr>
            <w:rFonts w:cstheme="minorHAnsi"/>
            <w:sz w:val="20"/>
            <w:szCs w:val="20"/>
          </w:rPr>
          <w:instrText xml:space="preserve"> PAGE   \* MERGEFORMAT </w:instrText>
        </w:r>
        <w:r w:rsidRPr="00BD203F">
          <w:rPr>
            <w:rFonts w:cstheme="minorHAnsi"/>
            <w:sz w:val="20"/>
            <w:szCs w:val="20"/>
          </w:rPr>
          <w:fldChar w:fldCharType="separate"/>
        </w:r>
        <w:r w:rsidR="0020433B">
          <w:rPr>
            <w:rFonts w:cstheme="minorHAnsi"/>
            <w:noProof/>
            <w:sz w:val="20"/>
            <w:szCs w:val="20"/>
          </w:rPr>
          <w:t>1</w:t>
        </w:r>
        <w:r w:rsidRPr="00BD203F">
          <w:rPr>
            <w:rFonts w:cstheme="minorHAnsi"/>
            <w:noProof/>
            <w:sz w:val="20"/>
            <w:szCs w:val="20"/>
          </w:rPr>
          <w:fldChar w:fldCharType="end"/>
        </w:r>
        <w:r w:rsidRPr="00BD203F">
          <w:rPr>
            <w:rFonts w:cstheme="minorHAnsi"/>
            <w:sz w:val="20"/>
            <w:szCs w:val="20"/>
          </w:rPr>
          <w:t xml:space="preserve"> | </w:t>
        </w:r>
        <w:r w:rsidRPr="00BD203F">
          <w:rPr>
            <w:rFonts w:cstheme="minorHAnsi"/>
            <w:color w:val="7F7F7F" w:themeColor="background1" w:themeShade="7F"/>
            <w:spacing w:val="60"/>
            <w:sz w:val="20"/>
            <w:szCs w:val="20"/>
          </w:rPr>
          <w:t>Page</w:t>
        </w:r>
      </w:p>
    </w:sdtContent>
  </w:sdt>
  <w:p w14:paraId="7E7F8E5A" w14:textId="77777777" w:rsidR="00E13684" w:rsidRDefault="00E1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E7AD" w14:textId="77777777" w:rsidR="00E13684" w:rsidRDefault="00E13684" w:rsidP="00A534B3">
      <w:pPr>
        <w:spacing w:after="0" w:line="240" w:lineRule="auto"/>
      </w:pPr>
      <w:r>
        <w:separator/>
      </w:r>
    </w:p>
  </w:footnote>
  <w:footnote w:type="continuationSeparator" w:id="0">
    <w:p w14:paraId="1069E959" w14:textId="77777777" w:rsidR="00E13684" w:rsidRDefault="00E13684" w:rsidP="00A534B3">
      <w:pPr>
        <w:spacing w:after="0" w:line="240" w:lineRule="auto"/>
      </w:pPr>
      <w:r>
        <w:continuationSeparator/>
      </w:r>
    </w:p>
  </w:footnote>
  <w:footnote w:id="1">
    <w:p w14:paraId="454FFC2E" w14:textId="3A776E6D" w:rsidR="000968FC" w:rsidRPr="00714763" w:rsidRDefault="000968FC" w:rsidP="00512952">
      <w:pPr>
        <w:pStyle w:val="Heading8"/>
        <w:keepNext w:val="0"/>
        <w:keepLines w:val="0"/>
        <w:tabs>
          <w:tab w:val="left" w:pos="-720"/>
          <w:tab w:val="left" w:pos="709"/>
        </w:tabs>
        <w:suppressAutoHyphens/>
        <w:spacing w:before="0" w:line="240" w:lineRule="auto"/>
        <w:ind w:left="41" w:right="240"/>
        <w:rPr>
          <w:color w:val="auto"/>
        </w:rPr>
      </w:pPr>
      <w:r w:rsidRPr="00714763">
        <w:rPr>
          <w:rFonts w:ascii="Calibri" w:hAnsi="Calibri" w:cs="Calibri"/>
          <w:color w:val="auto"/>
          <w:sz w:val="20"/>
          <w:szCs w:val="20"/>
        </w:rPr>
        <w:t xml:space="preserve">*  Managing Partner, Case Associates. Contact: </w:t>
      </w:r>
      <w:hyperlink r:id="rId1" w:history="1">
        <w:r w:rsidRPr="00714763">
          <w:rPr>
            <w:rStyle w:val="Hyperlink"/>
            <w:rFonts w:ascii="Calibri" w:hAnsi="Calibri" w:cs="Calibri"/>
            <w:color w:val="auto"/>
            <w:sz w:val="20"/>
            <w:szCs w:val="20"/>
          </w:rPr>
          <w:t>cento@casecon.com</w:t>
        </w:r>
      </w:hyperlink>
      <w:r w:rsidRPr="00714763">
        <w:rPr>
          <w:rFonts w:ascii="Calibri" w:hAnsi="Calibri" w:cs="Calibri"/>
          <w:color w:val="auto"/>
          <w:sz w:val="20"/>
          <w:szCs w:val="20"/>
        </w:rPr>
        <w:t xml:space="preserve">. </w:t>
      </w:r>
      <w:r w:rsidR="00714763">
        <w:rPr>
          <w:rFonts w:ascii="Calibri" w:hAnsi="Calibri" w:cs="Calibri"/>
          <w:color w:val="auto"/>
          <w:sz w:val="20"/>
          <w:szCs w:val="20"/>
        </w:rPr>
        <w:t xml:space="preserve">This is an updated version of </w:t>
      </w:r>
      <w:r w:rsidR="003B7DC1">
        <w:rPr>
          <w:rFonts w:ascii="Calibri" w:hAnsi="Calibri" w:cs="Calibri"/>
          <w:color w:val="auto"/>
          <w:sz w:val="20"/>
          <w:szCs w:val="20"/>
        </w:rPr>
        <w:t xml:space="preserve">the </w:t>
      </w:r>
      <w:r w:rsidR="00714763" w:rsidRPr="00714763">
        <w:rPr>
          <w:rFonts w:ascii="Calibri" w:hAnsi="Calibri" w:cs="Calibri"/>
          <w:color w:val="auto"/>
          <w:sz w:val="20"/>
          <w:szCs w:val="20"/>
        </w:rPr>
        <w:t xml:space="preserve">article </w:t>
      </w:r>
      <w:r w:rsidR="003B7DC1">
        <w:rPr>
          <w:rFonts w:ascii="Calibri" w:hAnsi="Calibri" w:cs="Calibri"/>
          <w:color w:val="auto"/>
          <w:sz w:val="20"/>
          <w:szCs w:val="20"/>
        </w:rPr>
        <w:t xml:space="preserve">with the same title </w:t>
      </w:r>
      <w:r w:rsidR="00714763" w:rsidRPr="00714763">
        <w:rPr>
          <w:rFonts w:ascii="Calibri" w:hAnsi="Calibri" w:cs="Calibri"/>
          <w:color w:val="auto"/>
          <w:sz w:val="20"/>
          <w:szCs w:val="20"/>
        </w:rPr>
        <w:t xml:space="preserve">published in </w:t>
      </w:r>
      <w:r w:rsidR="00714763" w:rsidRPr="00714763">
        <w:rPr>
          <w:rFonts w:ascii="Calibri" w:hAnsi="Calibri" w:cs="Calibri"/>
          <w:i/>
          <w:iCs/>
          <w:color w:val="auto"/>
          <w:sz w:val="20"/>
          <w:szCs w:val="20"/>
        </w:rPr>
        <w:t>Competition Law Insights,</w:t>
      </w:r>
      <w:r w:rsidR="00714763" w:rsidRPr="00714763">
        <w:rPr>
          <w:rFonts w:ascii="Calibri" w:hAnsi="Calibri" w:cs="Calibri"/>
          <w:color w:val="auto"/>
          <w:sz w:val="20"/>
          <w:szCs w:val="20"/>
        </w:rPr>
        <w:t xml:space="preserve"> 26 June 2019.</w:t>
      </w:r>
      <w:r w:rsidRPr="00714763">
        <w:rPr>
          <w:rFonts w:ascii="Calibri" w:hAnsi="Calibri" w:cs="Calibri"/>
          <w:color w:val="auto"/>
          <w:sz w:val="20"/>
          <w:szCs w:val="20"/>
        </w:rPr>
        <w:t xml:space="preserve"> The author was the expert economist for the Applicant in </w:t>
      </w:r>
      <w:r w:rsidRPr="00714763">
        <w:rPr>
          <w:rFonts w:ascii="Calibri" w:hAnsi="Calibri" w:cs="Calibri"/>
          <w:i/>
          <w:color w:val="auto"/>
          <w:sz w:val="20"/>
          <w:szCs w:val="20"/>
        </w:rPr>
        <w:t>Merricks v. MasterCard</w:t>
      </w:r>
      <w:r w:rsidRPr="00714763">
        <w:rPr>
          <w:rFonts w:ascii="Calibri" w:hAnsi="Calibri" w:cs="Calibri"/>
          <w:color w:val="auto"/>
          <w:sz w:val="20"/>
          <w:szCs w:val="20"/>
        </w:rPr>
        <w:t xml:space="preserve">. For a fuller discussion of the CAT’s judgment see Cento Veljanovski, ‘Collective Certification in UK Competition Law - Commonality, costs and funding’, </w:t>
      </w:r>
      <w:r w:rsidRPr="00714763">
        <w:rPr>
          <w:rFonts w:ascii="Calibri" w:hAnsi="Calibri" w:cs="Calibri"/>
          <w:i/>
          <w:color w:val="auto"/>
          <w:sz w:val="20"/>
          <w:szCs w:val="20"/>
        </w:rPr>
        <w:t>World Competition</w:t>
      </w:r>
      <w:r w:rsidRPr="00714763">
        <w:rPr>
          <w:rFonts w:ascii="Calibri" w:hAnsi="Calibri" w:cs="Calibri"/>
          <w:color w:val="auto"/>
          <w:sz w:val="20"/>
          <w:szCs w:val="20"/>
        </w:rPr>
        <w:t>, Vol. 42, 2019, pp. 121-138.</w:t>
      </w:r>
    </w:p>
    <w:p w14:paraId="148761D5" w14:textId="38771836" w:rsidR="000968FC" w:rsidRPr="0002674C" w:rsidRDefault="000968FC">
      <w:pPr>
        <w:pStyle w:val="FootnoteText"/>
      </w:pPr>
      <w:r w:rsidRPr="0002674C">
        <w:rPr>
          <w:rStyle w:val="FootnoteReference"/>
        </w:rPr>
        <w:footnoteRef/>
      </w:r>
      <w:r w:rsidRPr="0002674C">
        <w:t xml:space="preserve"> </w:t>
      </w:r>
      <w:r w:rsidRPr="0002674C">
        <w:rPr>
          <w:rStyle w:val="Emphasis"/>
          <w:rFonts w:ascii="Calibri" w:hAnsi="Calibri" w:cs="Calibri"/>
          <w:bCs/>
          <w:spacing w:val="-6"/>
          <w:bdr w:val="none" w:sz="0" w:space="0" w:color="auto" w:frame="1"/>
        </w:rPr>
        <w:t>Walter Merricks v. Mastercard</w:t>
      </w:r>
      <w:r w:rsidRPr="0002674C">
        <w:rPr>
          <w:rStyle w:val="Strong"/>
          <w:rFonts w:ascii="Calibri" w:hAnsi="Calibri" w:cs="Calibri"/>
          <w:spacing w:val="-6"/>
          <w:bdr w:val="none" w:sz="0" w:space="0" w:color="auto" w:frame="1"/>
        </w:rPr>
        <w:t xml:space="preserve"> </w:t>
      </w:r>
      <w:r w:rsidRPr="0002674C">
        <w:rPr>
          <w:rStyle w:val="Strong"/>
          <w:rFonts w:ascii="Calibri" w:hAnsi="Calibri" w:cs="Calibri"/>
          <w:b w:val="0"/>
          <w:spacing w:val="-6"/>
          <w:bdr w:val="none" w:sz="0" w:space="0" w:color="auto" w:frame="1"/>
        </w:rPr>
        <w:t>[2019] EWCA Civ 674.</w:t>
      </w:r>
    </w:p>
  </w:footnote>
  <w:footnote w:id="2">
    <w:p w14:paraId="2F9B2DD5" w14:textId="4BE88F3B" w:rsidR="000968FC" w:rsidRPr="0002674C" w:rsidRDefault="000968FC" w:rsidP="009627D9">
      <w:pPr>
        <w:pStyle w:val="FootnoteText"/>
        <w:rPr>
          <w:rFonts w:cstheme="minorHAnsi"/>
        </w:rPr>
      </w:pPr>
      <w:r w:rsidRPr="0002674C">
        <w:rPr>
          <w:rStyle w:val="FootnoteReference"/>
          <w:rFonts w:cstheme="minorHAnsi"/>
        </w:rPr>
        <w:footnoteRef/>
      </w:r>
      <w:r w:rsidRPr="0002674C">
        <w:rPr>
          <w:rFonts w:cstheme="minorHAnsi"/>
        </w:rPr>
        <w:t xml:space="preserve"> </w:t>
      </w:r>
      <w:r w:rsidRPr="0002674C">
        <w:rPr>
          <w:rFonts w:cstheme="minorHAnsi"/>
          <w:i/>
        </w:rPr>
        <w:t>Walter Merricks v. MasterCard International</w:t>
      </w:r>
      <w:r w:rsidRPr="0002674C">
        <w:rPr>
          <w:rFonts w:cstheme="minorHAnsi"/>
        </w:rPr>
        <w:t xml:space="preserve"> [2018] CAT 16.</w:t>
      </w:r>
    </w:p>
  </w:footnote>
  <w:footnote w:id="3">
    <w:p w14:paraId="334196B0" w14:textId="33CBAC71" w:rsidR="000968FC" w:rsidRPr="001A7415" w:rsidRDefault="000968FC" w:rsidP="00024BA5">
      <w:pPr>
        <w:pStyle w:val="FootnoteText"/>
        <w:ind w:right="237"/>
        <w:rPr>
          <w:rFonts w:cstheme="minorHAnsi"/>
        </w:rPr>
      </w:pPr>
      <w:r w:rsidRPr="001A7415">
        <w:rPr>
          <w:rStyle w:val="FootnoteReference"/>
          <w:rFonts w:cstheme="minorHAnsi"/>
        </w:rPr>
        <w:footnoteRef/>
      </w:r>
      <w:r w:rsidRPr="001A7415">
        <w:rPr>
          <w:rFonts w:cstheme="minorHAnsi"/>
        </w:rPr>
        <w:t xml:space="preserve"> COMP/34.579 </w:t>
      </w:r>
      <w:r w:rsidRPr="001A7415">
        <w:rPr>
          <w:rFonts w:cstheme="minorHAnsi"/>
          <w:i/>
        </w:rPr>
        <w:t>MasterCard</w:t>
      </w:r>
      <w:r w:rsidRPr="001A7415">
        <w:rPr>
          <w:rFonts w:cstheme="minorHAnsi"/>
        </w:rPr>
        <w:t xml:space="preserve">, COMP/36.518 </w:t>
      </w:r>
      <w:r w:rsidRPr="001A7415">
        <w:rPr>
          <w:rFonts w:cstheme="minorHAnsi"/>
          <w:i/>
        </w:rPr>
        <w:t>Euro</w:t>
      </w:r>
      <w:r>
        <w:rPr>
          <w:rFonts w:cstheme="minorHAnsi"/>
          <w:i/>
        </w:rPr>
        <w:t xml:space="preserve"> </w:t>
      </w:r>
      <w:r w:rsidRPr="001A7415">
        <w:rPr>
          <w:rFonts w:cstheme="minorHAnsi"/>
          <w:i/>
        </w:rPr>
        <w:t xml:space="preserve">Commerce </w:t>
      </w:r>
      <w:r w:rsidRPr="001A7415">
        <w:rPr>
          <w:rFonts w:cstheme="minorHAnsi"/>
        </w:rPr>
        <w:t xml:space="preserve">and COMP/38.580 </w:t>
      </w:r>
      <w:r w:rsidRPr="001A7415">
        <w:rPr>
          <w:rFonts w:cstheme="minorHAnsi"/>
          <w:i/>
        </w:rPr>
        <w:t>Commercial Cards</w:t>
      </w:r>
      <w:r w:rsidRPr="001A7415">
        <w:rPr>
          <w:rFonts w:cstheme="minorHAnsi"/>
        </w:rPr>
        <w:t>.</w:t>
      </w:r>
    </w:p>
  </w:footnote>
  <w:footnote w:id="4">
    <w:p w14:paraId="17B12A97" w14:textId="27A33502" w:rsidR="000968FC" w:rsidRDefault="000968FC" w:rsidP="00024BA5">
      <w:pPr>
        <w:pStyle w:val="FootnoteText"/>
      </w:pPr>
      <w:r>
        <w:rPr>
          <w:rStyle w:val="FootnoteReference"/>
        </w:rPr>
        <w:footnoteRef/>
      </w:r>
      <w:r>
        <w:t xml:space="preserve"> </w:t>
      </w:r>
      <w:r w:rsidRPr="004536C1">
        <w:rPr>
          <w:rFonts w:cstheme="minorHAnsi"/>
          <w:bCs/>
          <w:i/>
          <w:kern w:val="36"/>
        </w:rPr>
        <w:t>Antitrust: Commissioner Kroes notes MasterCard's decision to cut cross-border Multilateral Interchange Fees (MIFs) and to repeal recent scheme fee increases – frequently asked questions</w:t>
      </w:r>
      <w:r w:rsidRPr="004536C1">
        <w:rPr>
          <w:rFonts w:cstheme="minorHAnsi"/>
          <w:bCs/>
          <w:kern w:val="36"/>
        </w:rPr>
        <w:t xml:space="preserve">, </w:t>
      </w:r>
      <w:r w:rsidRPr="004536C1">
        <w:rPr>
          <w:rFonts w:cstheme="minorHAnsi"/>
          <w:bCs/>
        </w:rPr>
        <w:t xml:space="preserve">MEMO/09/143, </w:t>
      </w:r>
      <w:r w:rsidRPr="004536C1">
        <w:rPr>
          <w:rFonts w:cstheme="minorHAnsi"/>
        </w:rPr>
        <w:t>Brussels, 1</w:t>
      </w:r>
      <w:r w:rsidRPr="004536C1">
        <w:rPr>
          <w:rFonts w:cstheme="minorHAnsi"/>
          <w:bdr w:val="none" w:sz="0" w:space="0" w:color="auto" w:frame="1"/>
          <w:vertAlign w:val="superscript"/>
        </w:rPr>
        <w:t>st</w:t>
      </w:r>
      <w:r w:rsidRPr="004536C1">
        <w:rPr>
          <w:rStyle w:val="apple-converted-space"/>
          <w:rFonts w:cstheme="minorHAnsi"/>
        </w:rPr>
        <w:t> </w:t>
      </w:r>
      <w:r w:rsidRPr="004536C1">
        <w:rPr>
          <w:rFonts w:cstheme="minorHAnsi"/>
        </w:rPr>
        <w:t xml:space="preserve">April 2009. </w:t>
      </w:r>
      <w:hyperlink r:id="rId2" w:history="1">
        <w:r w:rsidRPr="004536C1">
          <w:rPr>
            <w:rStyle w:val="Hyperlink"/>
            <w:rFonts w:cstheme="minorHAnsi"/>
          </w:rPr>
          <w:t>http://europa.eu/rapid/press-release_MEMO-09-143_en.htm</w:t>
        </w:r>
      </w:hyperlink>
    </w:p>
  </w:footnote>
  <w:footnote w:id="5">
    <w:p w14:paraId="03028EDA" w14:textId="3B354BEB" w:rsidR="000968FC" w:rsidRDefault="000968FC" w:rsidP="00581D4E">
      <w:pPr>
        <w:autoSpaceDE w:val="0"/>
        <w:autoSpaceDN w:val="0"/>
        <w:adjustRightInd w:val="0"/>
        <w:spacing w:after="0" w:line="240" w:lineRule="auto"/>
        <w:ind w:right="237"/>
        <w:jc w:val="both"/>
      </w:pPr>
      <w:r>
        <w:rPr>
          <w:rStyle w:val="FootnoteReference"/>
        </w:rPr>
        <w:footnoteRef/>
      </w:r>
      <w:r>
        <w:t xml:space="preserve"> </w:t>
      </w:r>
      <w:r w:rsidRPr="003474BD">
        <w:rPr>
          <w:sz w:val="20"/>
          <w:szCs w:val="20"/>
        </w:rPr>
        <w:t>Interchange Fees for Card-Based Payment Transactions Regulation (EU) 2015/751.</w:t>
      </w:r>
    </w:p>
  </w:footnote>
  <w:footnote w:id="6">
    <w:p w14:paraId="618F2126" w14:textId="06AE4713" w:rsidR="000968FC" w:rsidRPr="00203D03" w:rsidRDefault="000968FC">
      <w:pPr>
        <w:pStyle w:val="FootnoteText"/>
      </w:pPr>
      <w:r>
        <w:rPr>
          <w:rStyle w:val="FootnoteReference"/>
        </w:rPr>
        <w:footnoteRef/>
      </w:r>
      <w:r>
        <w:t xml:space="preserve"> </w:t>
      </w:r>
      <w:r w:rsidRPr="00203D03">
        <w:rPr>
          <w:rStyle w:val="fontstyle21"/>
          <w:rFonts w:asciiTheme="minorHAnsi" w:hAnsiTheme="minorHAnsi" w:cstheme="minorHAnsi"/>
          <w:color w:val="auto"/>
          <w:sz w:val="20"/>
          <w:szCs w:val="20"/>
        </w:rPr>
        <w:t>CAT Guide, para 6.37.</w:t>
      </w:r>
    </w:p>
  </w:footnote>
  <w:footnote w:id="7">
    <w:p w14:paraId="274825C5" w14:textId="66E94911" w:rsidR="000968FC" w:rsidRPr="001A7415" w:rsidRDefault="000968FC" w:rsidP="009D4B6E">
      <w:pPr>
        <w:pStyle w:val="FootnoteText"/>
        <w:rPr>
          <w:rFonts w:cstheme="minorHAnsi"/>
        </w:rPr>
      </w:pPr>
      <w:r w:rsidRPr="00203D03">
        <w:rPr>
          <w:rStyle w:val="FootnoteReference"/>
          <w:rFonts w:cstheme="minorHAnsi"/>
        </w:rPr>
        <w:footnoteRef/>
      </w:r>
      <w:r w:rsidRPr="00203D03">
        <w:rPr>
          <w:rFonts w:cstheme="minorHAnsi"/>
        </w:rPr>
        <w:t xml:space="preserve"> Reiterating </w:t>
      </w:r>
      <w:r w:rsidRPr="00203D03">
        <w:rPr>
          <w:rStyle w:val="fontstyle21"/>
          <w:rFonts w:asciiTheme="minorHAnsi" w:hAnsiTheme="minorHAnsi" w:cstheme="minorHAnsi"/>
          <w:color w:val="auto"/>
          <w:sz w:val="20"/>
          <w:szCs w:val="20"/>
        </w:rPr>
        <w:t xml:space="preserve">CAT </w:t>
      </w:r>
      <w:r w:rsidRPr="00203D03">
        <w:rPr>
          <w:rFonts w:cstheme="minorHAnsi"/>
        </w:rPr>
        <w:t>Rule 73(2).</w:t>
      </w:r>
    </w:p>
  </w:footnote>
  <w:footnote w:id="8">
    <w:p w14:paraId="2E7245E9" w14:textId="1EA4EE9D" w:rsidR="000968FC" w:rsidRPr="001A7415" w:rsidRDefault="000968FC" w:rsidP="001A7415">
      <w:pPr>
        <w:pStyle w:val="FootnoteText"/>
        <w:rPr>
          <w:rFonts w:cstheme="minorHAnsi"/>
        </w:rPr>
      </w:pPr>
      <w:r w:rsidRPr="001A7415">
        <w:rPr>
          <w:rStyle w:val="FootnoteReference"/>
          <w:rFonts w:cstheme="minorHAnsi"/>
        </w:rPr>
        <w:footnoteRef/>
      </w:r>
      <w:r w:rsidRPr="001A7415">
        <w:rPr>
          <w:rFonts w:cstheme="minorHAnsi"/>
        </w:rPr>
        <w:t xml:space="preserve"> CAT Guide, para 6.28.</w:t>
      </w:r>
    </w:p>
  </w:footnote>
  <w:footnote w:id="9">
    <w:p w14:paraId="5FD325A4" w14:textId="3862C3EB" w:rsidR="000968FC" w:rsidRDefault="000968FC" w:rsidP="001831B0">
      <w:pPr>
        <w:pStyle w:val="FootnoteText"/>
      </w:pPr>
      <w:r w:rsidRPr="0002674C">
        <w:rPr>
          <w:rStyle w:val="FootnoteReference"/>
        </w:rPr>
        <w:footnoteRef/>
      </w:r>
      <w:r w:rsidRPr="0002674C">
        <w:t xml:space="preserve"> </w:t>
      </w:r>
      <w:r w:rsidRPr="0002674C">
        <w:rPr>
          <w:rFonts w:cstheme="minorHAnsi"/>
          <w:i/>
        </w:rPr>
        <w:t>Dorothy Gibson v. Pride Mobility Products Limited</w:t>
      </w:r>
      <w:r w:rsidRPr="0002674C">
        <w:rPr>
          <w:rFonts w:cstheme="minorHAnsi"/>
        </w:rPr>
        <w:t xml:space="preserve"> ([2017] CAT 9</w:t>
      </w:r>
      <w:r>
        <w:rPr>
          <w:rFonts w:cstheme="minorHAnsi"/>
        </w:rPr>
        <w:t xml:space="preserve"> (‘</w:t>
      </w:r>
      <w:r w:rsidRPr="00F505FA">
        <w:rPr>
          <w:rFonts w:cstheme="minorHAnsi"/>
          <w:i/>
        </w:rPr>
        <w:t>Gibson</w:t>
      </w:r>
      <w:r>
        <w:rPr>
          <w:rFonts w:cstheme="minorHAnsi"/>
        </w:rPr>
        <w:t>’)</w:t>
      </w:r>
      <w:r w:rsidRPr="0002674C">
        <w:rPr>
          <w:rFonts w:cstheme="minorHAnsi"/>
        </w:rPr>
        <w:t>.</w:t>
      </w:r>
    </w:p>
  </w:footnote>
  <w:footnote w:id="10">
    <w:p w14:paraId="4A95F6C5" w14:textId="4002E1C4" w:rsidR="000968FC" w:rsidRPr="001A7415" w:rsidRDefault="000968FC" w:rsidP="001A7415">
      <w:pPr>
        <w:pStyle w:val="FootnoteText"/>
        <w:rPr>
          <w:rFonts w:cstheme="minorHAnsi"/>
        </w:rPr>
      </w:pPr>
      <w:r>
        <w:rPr>
          <w:rStyle w:val="FootnoteReference"/>
        </w:rPr>
        <w:footnoteRef/>
      </w:r>
      <w:r w:rsidRPr="001A7415">
        <w:rPr>
          <w:rFonts w:cstheme="minorHAnsi"/>
        </w:rPr>
        <w:t xml:space="preserve"> </w:t>
      </w:r>
      <w:r w:rsidRPr="001A7415">
        <w:rPr>
          <w:rFonts w:cstheme="minorHAnsi"/>
          <w:i/>
        </w:rPr>
        <w:t>Pro-Sys Consultants Ltd v. Microsoft Corp.</w:t>
      </w:r>
      <w:r w:rsidRPr="001A7415">
        <w:rPr>
          <w:rFonts w:cstheme="minorHAnsi"/>
        </w:rPr>
        <w:t xml:space="preserve"> [2013] SCC 57.</w:t>
      </w:r>
    </w:p>
  </w:footnote>
  <w:footnote w:id="11">
    <w:p w14:paraId="1811E753" w14:textId="5D29341D" w:rsidR="000968FC" w:rsidRPr="001A7415" w:rsidRDefault="000968FC" w:rsidP="001A7415">
      <w:pPr>
        <w:pStyle w:val="FootnoteText"/>
        <w:rPr>
          <w:rFonts w:cstheme="minorHAnsi"/>
        </w:rPr>
      </w:pPr>
      <w:r w:rsidRPr="001A7415">
        <w:rPr>
          <w:rStyle w:val="FootnoteReference"/>
        </w:rPr>
        <w:footnoteRef/>
      </w:r>
      <w:r w:rsidRPr="001A7415">
        <w:t xml:space="preserve"> </w:t>
      </w:r>
      <w:r w:rsidRPr="00E72452">
        <w:rPr>
          <w:rFonts w:cstheme="minorHAnsi"/>
          <w:i/>
        </w:rPr>
        <w:t>Pro-Sys,</w:t>
      </w:r>
      <w:r w:rsidRPr="001A7415">
        <w:rPr>
          <w:rFonts w:cstheme="minorHAnsi"/>
        </w:rPr>
        <w:t xml:space="preserve"> para 118.</w:t>
      </w:r>
    </w:p>
    <w:p w14:paraId="579729BE" w14:textId="77777777" w:rsidR="000968FC" w:rsidRPr="001A7415" w:rsidRDefault="000968FC" w:rsidP="001A7415">
      <w:pPr>
        <w:pStyle w:val="FootnoteText"/>
      </w:pPr>
    </w:p>
  </w:footnote>
  <w:footnote w:id="12">
    <w:p w14:paraId="71D81AC2" w14:textId="499BFC69" w:rsidR="000968FC" w:rsidRPr="001A7415" w:rsidRDefault="000968FC" w:rsidP="001A7415">
      <w:pPr>
        <w:pStyle w:val="FootnoteText"/>
      </w:pPr>
      <w:r w:rsidRPr="001A7415">
        <w:rPr>
          <w:rStyle w:val="FootnoteReference"/>
        </w:rPr>
        <w:footnoteRef/>
      </w:r>
      <w:r w:rsidRPr="001A7415">
        <w:t xml:space="preserve"> </w:t>
      </w:r>
      <w:r w:rsidRPr="00E72452">
        <w:rPr>
          <w:rFonts w:cstheme="minorHAnsi"/>
          <w:i/>
        </w:rPr>
        <w:t>Pro-Sys,</w:t>
      </w:r>
      <w:r w:rsidRPr="001A7415">
        <w:rPr>
          <w:rFonts w:cstheme="minorHAnsi"/>
        </w:rPr>
        <w:t xml:space="preserve"> para 118.</w:t>
      </w:r>
    </w:p>
  </w:footnote>
  <w:footnote w:id="13">
    <w:p w14:paraId="37DAA55C" w14:textId="05D9430E" w:rsidR="000968FC" w:rsidRDefault="000968FC">
      <w:pPr>
        <w:pStyle w:val="FootnoteText"/>
      </w:pPr>
      <w:r>
        <w:rPr>
          <w:rStyle w:val="FootnoteReference"/>
        </w:rPr>
        <w:footnoteRef/>
      </w:r>
      <w:r>
        <w:t xml:space="preserve">  </w:t>
      </w:r>
      <w:r w:rsidRPr="00BA1E28">
        <w:rPr>
          <w:i/>
        </w:rPr>
        <w:t xml:space="preserve">Merricks, </w:t>
      </w:r>
      <w:r>
        <w:t>para 78</w:t>
      </w:r>
      <w:r>
        <w:rPr>
          <w:rFonts w:cstheme="minorHAnsi"/>
          <w:sz w:val="24"/>
          <w:szCs w:val="24"/>
        </w:rPr>
        <w:t>.</w:t>
      </w:r>
    </w:p>
  </w:footnote>
  <w:footnote w:id="14">
    <w:p w14:paraId="5E187DB8" w14:textId="7AEE2B6D" w:rsidR="000968FC" w:rsidRPr="001A7415" w:rsidRDefault="000968FC" w:rsidP="001A7415">
      <w:pPr>
        <w:pStyle w:val="FootnoteText"/>
        <w:rPr>
          <w:rFonts w:cstheme="minorHAnsi"/>
        </w:rPr>
      </w:pPr>
      <w:r w:rsidRPr="001A7415">
        <w:rPr>
          <w:rStyle w:val="FootnoteReference"/>
          <w:rFonts w:cstheme="minorHAnsi"/>
        </w:rPr>
        <w:footnoteRef/>
      </w:r>
      <w:r w:rsidRPr="001A7415">
        <w:rPr>
          <w:rFonts w:cstheme="minorHAnsi"/>
        </w:rPr>
        <w:t xml:space="preserve"> </w:t>
      </w:r>
      <w:r w:rsidRPr="001A7415">
        <w:rPr>
          <w:rFonts w:cstheme="minorHAnsi"/>
          <w:i/>
        </w:rPr>
        <w:t>Merricks</w:t>
      </w:r>
      <w:r>
        <w:rPr>
          <w:rFonts w:cstheme="minorHAnsi"/>
          <w:i/>
        </w:rPr>
        <w:t>,</w:t>
      </w:r>
      <w:r w:rsidRPr="001A7415">
        <w:rPr>
          <w:rFonts w:cstheme="minorHAnsi"/>
        </w:rPr>
        <w:t xml:space="preserve"> para 77. </w:t>
      </w:r>
    </w:p>
  </w:footnote>
  <w:footnote w:id="15">
    <w:p w14:paraId="0507CF30" w14:textId="6E0AD5D6" w:rsidR="000968FC" w:rsidRDefault="000968FC">
      <w:pPr>
        <w:pStyle w:val="FootnoteText"/>
        <w:rPr>
          <w:rStyle w:val="Emphasis"/>
          <w:rFonts w:ascii="Calibri" w:hAnsi="Calibri" w:cs="Calibri"/>
          <w:bCs/>
          <w:i w:val="0"/>
          <w:spacing w:val="-6"/>
          <w:bdr w:val="none" w:sz="0" w:space="0" w:color="auto" w:frame="1"/>
        </w:rPr>
      </w:pPr>
      <w:r>
        <w:rPr>
          <w:rStyle w:val="FootnoteReference"/>
        </w:rPr>
        <w:footnoteRef/>
      </w:r>
      <w:r>
        <w:t xml:space="preserve"> </w:t>
      </w:r>
      <w:r w:rsidRPr="0002674C">
        <w:rPr>
          <w:rStyle w:val="Emphasis"/>
          <w:rFonts w:ascii="Calibri" w:hAnsi="Calibri" w:cs="Calibri"/>
          <w:bCs/>
          <w:spacing w:val="-6"/>
          <w:bdr w:val="none" w:sz="0" w:space="0" w:color="auto" w:frame="1"/>
        </w:rPr>
        <w:t>Walter Merricks v. Mastercard</w:t>
      </w:r>
      <w:r w:rsidRPr="0002674C">
        <w:rPr>
          <w:rStyle w:val="Strong"/>
          <w:rFonts w:ascii="Calibri" w:hAnsi="Calibri" w:cs="Calibri"/>
          <w:spacing w:val="-6"/>
          <w:bdr w:val="none" w:sz="0" w:space="0" w:color="auto" w:frame="1"/>
        </w:rPr>
        <w:t xml:space="preserve"> </w:t>
      </w:r>
      <w:r w:rsidRPr="0002674C">
        <w:rPr>
          <w:rStyle w:val="Strong"/>
          <w:rFonts w:ascii="Calibri" w:hAnsi="Calibri" w:cs="Calibri"/>
          <w:b w:val="0"/>
          <w:spacing w:val="-6"/>
          <w:bdr w:val="none" w:sz="0" w:space="0" w:color="auto" w:frame="1"/>
        </w:rPr>
        <w:t>[2019] EWCA Civ 674</w:t>
      </w:r>
      <w:r>
        <w:rPr>
          <w:rStyle w:val="Strong"/>
          <w:rFonts w:ascii="Calibri" w:hAnsi="Calibri" w:cs="Calibri"/>
          <w:b w:val="0"/>
          <w:spacing w:val="-6"/>
          <w:bdr w:val="none" w:sz="0" w:space="0" w:color="auto" w:frame="1"/>
        </w:rPr>
        <w:t>,</w:t>
      </w:r>
      <w:r w:rsidRPr="00AB5E67">
        <w:rPr>
          <w:rStyle w:val="Strong"/>
          <w:rFonts w:ascii="Calibri" w:hAnsi="Calibri" w:cs="Calibri"/>
          <w:b w:val="0"/>
          <w:i/>
          <w:spacing w:val="-6"/>
          <w:bdr w:val="none" w:sz="0" w:space="0" w:color="auto" w:frame="1"/>
        </w:rPr>
        <w:t xml:space="preserve"> p</w:t>
      </w:r>
      <w:r w:rsidRPr="00AB5E67">
        <w:rPr>
          <w:rStyle w:val="Emphasis"/>
          <w:rFonts w:ascii="Calibri" w:hAnsi="Calibri" w:cs="Calibri"/>
          <w:bCs/>
          <w:i w:val="0"/>
          <w:spacing w:val="-6"/>
          <w:bdr w:val="none" w:sz="0" w:space="0" w:color="auto" w:frame="1"/>
        </w:rPr>
        <w:t>ara 52</w:t>
      </w:r>
      <w:r w:rsidRPr="00F505FA">
        <w:rPr>
          <w:rStyle w:val="Emphasis"/>
          <w:rFonts w:ascii="Calibri" w:hAnsi="Calibri" w:cs="Calibri"/>
          <w:bCs/>
          <w:spacing w:val="-6"/>
          <w:bdr w:val="none" w:sz="0" w:space="0" w:color="auto" w:frame="1"/>
        </w:rPr>
        <w:t>.</w:t>
      </w:r>
    </w:p>
    <w:p w14:paraId="2F3A4C7C" w14:textId="77777777" w:rsidR="000968FC" w:rsidRDefault="000968FC">
      <w:pPr>
        <w:pStyle w:val="FootnoteText"/>
      </w:pPr>
    </w:p>
  </w:footnote>
  <w:footnote w:id="16">
    <w:p w14:paraId="39C812F5" w14:textId="1E04EF68" w:rsidR="000968FC" w:rsidRDefault="000968FC" w:rsidP="00BA1E28">
      <w:pPr>
        <w:pStyle w:val="FootnoteText"/>
      </w:pPr>
      <w:r>
        <w:rPr>
          <w:rStyle w:val="FootnoteReference"/>
        </w:rPr>
        <w:footnoteRef/>
      </w:r>
      <w:r>
        <w:t xml:space="preserve"> </w:t>
      </w:r>
      <w:r w:rsidRPr="00714763">
        <w:rPr>
          <w:i/>
          <w:iCs/>
        </w:rPr>
        <w:t>Ibid</w:t>
      </w:r>
      <w:r>
        <w:t>, para 51.</w:t>
      </w:r>
    </w:p>
  </w:footnote>
  <w:footnote w:id="17">
    <w:p w14:paraId="09A14825" w14:textId="3E613788" w:rsidR="000968FC" w:rsidRPr="001A7415" w:rsidRDefault="000968FC" w:rsidP="002514E1">
      <w:pPr>
        <w:pStyle w:val="FootnoteText"/>
        <w:rPr>
          <w:rFonts w:cstheme="minorHAnsi"/>
        </w:rPr>
      </w:pPr>
      <w:r w:rsidRPr="001A7415">
        <w:rPr>
          <w:rStyle w:val="FootnoteReference"/>
          <w:rFonts w:cstheme="minorHAnsi"/>
        </w:rPr>
        <w:footnoteRef/>
      </w:r>
      <w:r w:rsidRPr="001A7415">
        <w:rPr>
          <w:rFonts w:cstheme="minorHAnsi"/>
        </w:rPr>
        <w:t xml:space="preserve"> </w:t>
      </w:r>
      <w:r w:rsidRPr="001A7415">
        <w:rPr>
          <w:rFonts w:cstheme="minorHAnsi"/>
          <w:i/>
        </w:rPr>
        <w:t>Pro</w:t>
      </w:r>
      <w:r>
        <w:rPr>
          <w:rFonts w:cstheme="minorHAnsi"/>
          <w:i/>
        </w:rPr>
        <w:t>-</w:t>
      </w:r>
      <w:r w:rsidRPr="001A7415">
        <w:rPr>
          <w:rFonts w:cstheme="minorHAnsi"/>
          <w:i/>
        </w:rPr>
        <w:t>Sys,</w:t>
      </w:r>
      <w:r w:rsidRPr="001A7415">
        <w:rPr>
          <w:rFonts w:cstheme="minorHAnsi"/>
        </w:rPr>
        <w:t xml:space="preserve"> p</w:t>
      </w:r>
      <w:r>
        <w:rPr>
          <w:rFonts w:cstheme="minorHAnsi"/>
        </w:rPr>
        <w:t>ara</w:t>
      </w:r>
      <w:r w:rsidRPr="001A7415">
        <w:rPr>
          <w:rFonts w:cstheme="minorHAnsi"/>
        </w:rPr>
        <w:t>. 481.</w:t>
      </w:r>
      <w:r>
        <w:rPr>
          <w:rFonts w:cstheme="minorHAnsi"/>
        </w:rPr>
        <w:t xml:space="preserve"> </w:t>
      </w:r>
    </w:p>
  </w:footnote>
  <w:footnote w:id="18">
    <w:p w14:paraId="3E3FE280" w14:textId="329C3293" w:rsidR="000968FC" w:rsidRPr="001A7415" w:rsidRDefault="000968FC" w:rsidP="002514E1">
      <w:pPr>
        <w:pStyle w:val="FootnoteText"/>
        <w:rPr>
          <w:rFonts w:cstheme="minorHAnsi"/>
        </w:rPr>
      </w:pPr>
      <w:r w:rsidRPr="001A7415">
        <w:rPr>
          <w:rStyle w:val="FootnoteReference"/>
          <w:rFonts w:cstheme="minorHAnsi"/>
        </w:rPr>
        <w:footnoteRef/>
      </w:r>
      <w:r w:rsidRPr="001A7415">
        <w:rPr>
          <w:rFonts w:cstheme="minorHAnsi"/>
        </w:rPr>
        <w:t xml:space="preserve"> </w:t>
      </w:r>
      <w:r w:rsidRPr="001A7415">
        <w:rPr>
          <w:rFonts w:eastAsia="Times New Roman" w:cstheme="minorHAnsi"/>
          <w:i/>
          <w:lang w:eastAsia="en-GB"/>
        </w:rPr>
        <w:t>Pro</w:t>
      </w:r>
      <w:r>
        <w:rPr>
          <w:rFonts w:eastAsia="Times New Roman" w:cstheme="minorHAnsi"/>
          <w:i/>
          <w:lang w:eastAsia="en-GB"/>
        </w:rPr>
        <w:t>-</w:t>
      </w:r>
      <w:r w:rsidRPr="001A7415">
        <w:rPr>
          <w:rFonts w:eastAsia="Times New Roman" w:cstheme="minorHAnsi"/>
          <w:i/>
          <w:lang w:eastAsia="en-GB"/>
        </w:rPr>
        <w:t>Sys</w:t>
      </w:r>
      <w:r w:rsidRPr="001A7415">
        <w:rPr>
          <w:rFonts w:eastAsia="Times New Roman" w:cstheme="minorHAnsi"/>
          <w:lang w:eastAsia="en-GB"/>
        </w:rPr>
        <w:t>, para 105.</w:t>
      </w:r>
    </w:p>
  </w:footnote>
  <w:footnote w:id="19">
    <w:p w14:paraId="093E8666" w14:textId="2D4D06E6" w:rsidR="000968FC" w:rsidRDefault="000968FC">
      <w:pPr>
        <w:pStyle w:val="FootnoteText"/>
      </w:pPr>
      <w:r>
        <w:rPr>
          <w:rStyle w:val="FootnoteReference"/>
        </w:rPr>
        <w:footnoteRef/>
      </w:r>
      <w:r>
        <w:t xml:space="preserve"> </w:t>
      </w:r>
      <w:r w:rsidRPr="0002674C">
        <w:rPr>
          <w:rStyle w:val="Emphasis"/>
          <w:rFonts w:ascii="Calibri" w:hAnsi="Calibri" w:cs="Calibri"/>
          <w:bCs/>
          <w:spacing w:val="-6"/>
          <w:bdr w:val="none" w:sz="0" w:space="0" w:color="auto" w:frame="1"/>
        </w:rPr>
        <w:t>Walter Merricks v. Mastercard</w:t>
      </w:r>
      <w:r w:rsidRPr="0002674C">
        <w:rPr>
          <w:rStyle w:val="Strong"/>
          <w:rFonts w:ascii="Calibri" w:hAnsi="Calibri" w:cs="Calibri"/>
          <w:spacing w:val="-6"/>
          <w:bdr w:val="none" w:sz="0" w:space="0" w:color="auto" w:frame="1"/>
        </w:rPr>
        <w:t xml:space="preserve"> </w:t>
      </w:r>
      <w:r w:rsidRPr="0002674C">
        <w:rPr>
          <w:rStyle w:val="Strong"/>
          <w:rFonts w:ascii="Calibri" w:hAnsi="Calibri" w:cs="Calibri"/>
          <w:b w:val="0"/>
          <w:spacing w:val="-6"/>
          <w:bdr w:val="none" w:sz="0" w:space="0" w:color="auto" w:frame="1"/>
        </w:rPr>
        <w:t>[2019] EWCA Civ 674</w:t>
      </w:r>
      <w:r>
        <w:t>, para 54.</w:t>
      </w:r>
    </w:p>
  </w:footnote>
  <w:footnote w:id="20">
    <w:p w14:paraId="7A51AA1E" w14:textId="642E6295" w:rsidR="000968FC" w:rsidRPr="001A7415" w:rsidRDefault="000968FC" w:rsidP="00C87185">
      <w:pPr>
        <w:pStyle w:val="FootnoteText"/>
        <w:rPr>
          <w:rFonts w:cstheme="minorHAnsi"/>
          <w:b/>
        </w:rPr>
      </w:pPr>
      <w:r w:rsidRPr="001A7415">
        <w:rPr>
          <w:rStyle w:val="FootnoteReference"/>
          <w:rFonts w:cstheme="minorHAnsi"/>
        </w:rPr>
        <w:footnoteRef/>
      </w:r>
      <w:r w:rsidRPr="001A7415">
        <w:rPr>
          <w:rFonts w:cstheme="minorHAnsi"/>
        </w:rPr>
        <w:t xml:space="preserve"> </w:t>
      </w:r>
      <w:r w:rsidRPr="001A7415">
        <w:rPr>
          <w:rFonts w:cstheme="minorHAnsi"/>
          <w:i/>
        </w:rPr>
        <w:t xml:space="preserve">Merricks, </w:t>
      </w:r>
      <w:r w:rsidRPr="001A7415">
        <w:rPr>
          <w:rFonts w:cstheme="minorHAnsi"/>
        </w:rPr>
        <w:t>para 84</w:t>
      </w:r>
      <w:r w:rsidRPr="001A7415">
        <w:rPr>
          <w:rFonts w:cstheme="minorHAnsi"/>
          <w:i/>
        </w:rPr>
        <w:t>.</w:t>
      </w:r>
    </w:p>
  </w:footnote>
  <w:footnote w:id="21">
    <w:p w14:paraId="633A3B58" w14:textId="66A3F7FF" w:rsidR="000968FC" w:rsidRDefault="000968FC">
      <w:pPr>
        <w:pStyle w:val="FootnoteText"/>
      </w:pPr>
      <w:r>
        <w:rPr>
          <w:rStyle w:val="FootnoteReference"/>
        </w:rPr>
        <w:footnoteRef/>
      </w:r>
      <w:r>
        <w:t xml:space="preserve"> </w:t>
      </w:r>
      <w:r w:rsidRPr="0002674C">
        <w:rPr>
          <w:rStyle w:val="Emphasis"/>
          <w:rFonts w:ascii="Calibri" w:hAnsi="Calibri" w:cs="Calibri"/>
          <w:bCs/>
          <w:spacing w:val="-6"/>
          <w:bdr w:val="none" w:sz="0" w:space="0" w:color="auto" w:frame="1"/>
        </w:rPr>
        <w:t>Walter Merricks v. Mastercard</w:t>
      </w:r>
      <w:r w:rsidRPr="0002674C">
        <w:rPr>
          <w:rStyle w:val="Strong"/>
          <w:rFonts w:ascii="Calibri" w:hAnsi="Calibri" w:cs="Calibri"/>
          <w:spacing w:val="-6"/>
          <w:bdr w:val="none" w:sz="0" w:space="0" w:color="auto" w:frame="1"/>
        </w:rPr>
        <w:t xml:space="preserve"> </w:t>
      </w:r>
      <w:r w:rsidRPr="0002674C">
        <w:rPr>
          <w:rStyle w:val="Strong"/>
          <w:rFonts w:ascii="Calibri" w:hAnsi="Calibri" w:cs="Calibri"/>
          <w:b w:val="0"/>
          <w:spacing w:val="-6"/>
          <w:bdr w:val="none" w:sz="0" w:space="0" w:color="auto" w:frame="1"/>
        </w:rPr>
        <w:t>[2019] EWCA Civ 674</w:t>
      </w:r>
      <w:r>
        <w:t>, para 61.</w:t>
      </w:r>
      <w:r>
        <w:rPr>
          <w:rFonts w:cstheme="minorHAnsi"/>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3270"/>
    <w:multiLevelType w:val="hybridMultilevel"/>
    <w:tmpl w:val="069E49AC"/>
    <w:lvl w:ilvl="0" w:tplc="8D5ED4B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3A01D61"/>
    <w:multiLevelType w:val="hybridMultilevel"/>
    <w:tmpl w:val="7A3A8E20"/>
    <w:lvl w:ilvl="0" w:tplc="266C8018">
      <w:start w:val="1"/>
      <w:numFmt w:val="lowerLetter"/>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7BA7666"/>
    <w:multiLevelType w:val="hybridMultilevel"/>
    <w:tmpl w:val="B59A6708"/>
    <w:lvl w:ilvl="0" w:tplc="191C9566">
      <w:start w:val="1"/>
      <w:numFmt w:val="lowerLetter"/>
      <w:lvlText w:val="(%1)"/>
      <w:lvlJc w:val="left"/>
      <w:pPr>
        <w:ind w:left="1129" w:hanging="420"/>
      </w:pPr>
      <w:rPr>
        <w:rFonts w:ascii="Calibri" w:hAnsi="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E7770"/>
    <w:multiLevelType w:val="hybridMultilevel"/>
    <w:tmpl w:val="81BC7B8C"/>
    <w:lvl w:ilvl="0" w:tplc="B46E52F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B56A5D"/>
    <w:multiLevelType w:val="multilevel"/>
    <w:tmpl w:val="7952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53531"/>
    <w:multiLevelType w:val="hybridMultilevel"/>
    <w:tmpl w:val="67C6B19E"/>
    <w:lvl w:ilvl="0" w:tplc="F57A13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F5F02"/>
    <w:multiLevelType w:val="hybridMultilevel"/>
    <w:tmpl w:val="BD224EA8"/>
    <w:lvl w:ilvl="0" w:tplc="5B041FFE">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531D8"/>
    <w:multiLevelType w:val="hybridMultilevel"/>
    <w:tmpl w:val="1B7C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A6A85"/>
    <w:multiLevelType w:val="hybridMultilevel"/>
    <w:tmpl w:val="E2C4353C"/>
    <w:lvl w:ilvl="0" w:tplc="CE0077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E1840"/>
    <w:multiLevelType w:val="hybridMultilevel"/>
    <w:tmpl w:val="029EB008"/>
    <w:lvl w:ilvl="0" w:tplc="45A05C7A">
      <w:start w:val="1"/>
      <w:numFmt w:val="lowerLetter"/>
      <w:lvlText w:val="(%1)"/>
      <w:lvlJc w:val="left"/>
      <w:pPr>
        <w:ind w:left="1211" w:hanging="360"/>
      </w:pPr>
      <w:rPr>
        <w:rFonts w:ascii="Calibri" w:hAnsi="Calibri"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5AE708F3"/>
    <w:multiLevelType w:val="hybridMultilevel"/>
    <w:tmpl w:val="06227F9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5D4864A8"/>
    <w:multiLevelType w:val="hybridMultilevel"/>
    <w:tmpl w:val="EED4EB26"/>
    <w:lvl w:ilvl="0" w:tplc="CA22FC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E66B2"/>
    <w:multiLevelType w:val="hybridMultilevel"/>
    <w:tmpl w:val="520C2E94"/>
    <w:lvl w:ilvl="0" w:tplc="9A4C0536">
      <w:start w:val="2"/>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611A0E"/>
    <w:multiLevelType w:val="multilevel"/>
    <w:tmpl w:val="980CB2B6"/>
    <w:lvl w:ilvl="0">
      <w:start w:val="1"/>
      <w:numFmt w:val="decimal"/>
      <w:lvlRestart w:val="0"/>
      <w:pStyle w:val="MazarsReport1"/>
      <w:isLgl/>
      <w:lvlText w:val="%1"/>
      <w:lvlJc w:val="left"/>
      <w:pPr>
        <w:tabs>
          <w:tab w:val="num" w:pos="850"/>
        </w:tabs>
        <w:ind w:left="850" w:hanging="850"/>
      </w:pPr>
      <w:rPr>
        <w:rFonts w:ascii="Arial" w:hAnsi="Arial" w:cs="Arial" w:hint="default"/>
        <w:b/>
        <w:sz w:val="28"/>
      </w:rPr>
    </w:lvl>
    <w:lvl w:ilvl="1">
      <w:start w:val="1"/>
      <w:numFmt w:val="decimal"/>
      <w:pStyle w:val="MazarsFISReport2"/>
      <w:isLgl/>
      <w:lvlText w:val="%1.%2"/>
      <w:lvlJc w:val="left"/>
      <w:pPr>
        <w:tabs>
          <w:tab w:val="num" w:pos="1620"/>
        </w:tabs>
        <w:ind w:left="1620" w:hanging="850"/>
      </w:pPr>
      <w:rPr>
        <w:rFonts w:ascii="Arial" w:hAnsi="Arial" w:cs="Arial" w:hint="default"/>
        <w:b/>
        <w:i w:val="0"/>
        <w:sz w:val="22"/>
        <w:szCs w:val="22"/>
      </w:rPr>
    </w:lvl>
    <w:lvl w:ilvl="2">
      <w:start w:val="1"/>
      <w:numFmt w:val="decimal"/>
      <w:pStyle w:val="MazarsFISReport6"/>
      <w:isLgl/>
      <w:lvlText w:val="%1.%2.%3"/>
      <w:lvlJc w:val="left"/>
      <w:pPr>
        <w:tabs>
          <w:tab w:val="num" w:pos="850"/>
        </w:tabs>
        <w:ind w:left="850" w:hanging="850"/>
      </w:pPr>
      <w:rPr>
        <w:rFonts w:ascii="Times New Roman" w:hAnsi="Times New Roman" w:cs="Times New Roman" w:hint="default"/>
        <w:b w:val="0"/>
        <w:i w:val="0"/>
        <w:sz w:val="22"/>
        <w:szCs w:val="22"/>
      </w:rPr>
    </w:lvl>
    <w:lvl w:ilvl="3">
      <w:start w:val="1"/>
      <w:numFmt w:val="bullet"/>
      <w:pStyle w:val="MazarsFISReport7"/>
      <w:lvlText w:val=""/>
      <w:lvlJc w:val="left"/>
      <w:pPr>
        <w:tabs>
          <w:tab w:val="num" w:pos="1417"/>
        </w:tabs>
        <w:ind w:left="1417" w:hanging="567"/>
      </w:pPr>
      <w:rPr>
        <w:rFonts w:ascii="Symbol" w:hAnsi="Symbol" w:hint="default"/>
        <w:b w:val="0"/>
        <w:i w:val="0"/>
        <w:sz w:val="22"/>
      </w:rPr>
    </w:lvl>
    <w:lvl w:ilvl="4">
      <w:start w:val="1"/>
      <w:numFmt w:val="lowerRoman"/>
      <w:pStyle w:val="MazarsFISReport8"/>
      <w:lvlText w:val="(%5)"/>
      <w:lvlJc w:val="left"/>
      <w:pPr>
        <w:tabs>
          <w:tab w:val="num" w:pos="2414"/>
        </w:tabs>
        <w:ind w:left="2411" w:hanging="567"/>
      </w:pPr>
      <w:rPr>
        <w:rFonts w:ascii="Times New Roman" w:hAnsi="Times New Roman" w:cs="Times New Roman" w:hint="default"/>
        <w:b w:val="0"/>
        <w:sz w:val="22"/>
      </w:rPr>
    </w:lvl>
    <w:lvl w:ilvl="5">
      <w:start w:val="1"/>
      <w:numFmt w:val="bullet"/>
      <w:lvlText w:val=""/>
      <w:lvlJc w:val="left"/>
      <w:pPr>
        <w:tabs>
          <w:tab w:val="num" w:pos="2552"/>
        </w:tabs>
        <w:ind w:left="2552" w:hanging="567"/>
      </w:pPr>
      <w:rPr>
        <w:rFonts w:ascii="Symbol" w:hAnsi="Symbol" w:hint="default"/>
        <w:color w:val="auto"/>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2268"/>
        </w:tabs>
        <w:ind w:left="2268" w:firstLine="0"/>
      </w:pPr>
      <w:rPr>
        <w:rFonts w:hint="default"/>
      </w:rPr>
    </w:lvl>
    <w:lvl w:ilvl="8">
      <w:start w:val="1"/>
      <w:numFmt w:val="none"/>
      <w:lvlText w:val=""/>
      <w:lvlJc w:val="left"/>
      <w:pPr>
        <w:tabs>
          <w:tab w:val="num" w:pos="2835"/>
        </w:tabs>
        <w:ind w:left="2835" w:firstLine="0"/>
      </w:pPr>
      <w:rPr>
        <w:rFonts w:hint="default"/>
      </w:rPr>
    </w:lvl>
  </w:abstractNum>
  <w:abstractNum w:abstractNumId="14" w15:restartNumberingAfterBreak="0">
    <w:nsid w:val="704A14D5"/>
    <w:multiLevelType w:val="hybridMultilevel"/>
    <w:tmpl w:val="870A108A"/>
    <w:lvl w:ilvl="0" w:tplc="CE80AC1E">
      <w:start w:val="1"/>
      <w:numFmt w:val="decimal"/>
      <w:lvlText w:val="%1."/>
      <w:lvlJc w:val="left"/>
      <w:pPr>
        <w:tabs>
          <w:tab w:val="num" w:pos="433"/>
        </w:tabs>
        <w:ind w:left="433" w:hanging="360"/>
      </w:pPr>
      <w:rPr>
        <w:rFonts w:ascii="Calibri" w:hAnsi="Calibri" w:cs="Calibri"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153"/>
        </w:tabs>
        <w:ind w:left="1153" w:hanging="360"/>
      </w:pPr>
    </w:lvl>
    <w:lvl w:ilvl="2" w:tplc="0409001B" w:tentative="1">
      <w:start w:val="1"/>
      <w:numFmt w:val="lowerRoman"/>
      <w:lvlText w:val="%3."/>
      <w:lvlJc w:val="right"/>
      <w:pPr>
        <w:tabs>
          <w:tab w:val="num" w:pos="1873"/>
        </w:tabs>
        <w:ind w:left="1873" w:hanging="180"/>
      </w:pPr>
    </w:lvl>
    <w:lvl w:ilvl="3" w:tplc="0409000F" w:tentative="1">
      <w:start w:val="1"/>
      <w:numFmt w:val="decimal"/>
      <w:lvlText w:val="%4."/>
      <w:lvlJc w:val="left"/>
      <w:pPr>
        <w:tabs>
          <w:tab w:val="num" w:pos="2593"/>
        </w:tabs>
        <w:ind w:left="2593" w:hanging="360"/>
      </w:pPr>
    </w:lvl>
    <w:lvl w:ilvl="4" w:tplc="04090019" w:tentative="1">
      <w:start w:val="1"/>
      <w:numFmt w:val="lowerLetter"/>
      <w:lvlText w:val="%5."/>
      <w:lvlJc w:val="left"/>
      <w:pPr>
        <w:tabs>
          <w:tab w:val="num" w:pos="3313"/>
        </w:tabs>
        <w:ind w:left="3313" w:hanging="360"/>
      </w:pPr>
    </w:lvl>
    <w:lvl w:ilvl="5" w:tplc="0409001B" w:tentative="1">
      <w:start w:val="1"/>
      <w:numFmt w:val="lowerRoman"/>
      <w:lvlText w:val="%6."/>
      <w:lvlJc w:val="right"/>
      <w:pPr>
        <w:tabs>
          <w:tab w:val="num" w:pos="4033"/>
        </w:tabs>
        <w:ind w:left="4033" w:hanging="180"/>
      </w:pPr>
    </w:lvl>
    <w:lvl w:ilvl="6" w:tplc="0409000F" w:tentative="1">
      <w:start w:val="1"/>
      <w:numFmt w:val="decimal"/>
      <w:lvlText w:val="%7."/>
      <w:lvlJc w:val="left"/>
      <w:pPr>
        <w:tabs>
          <w:tab w:val="num" w:pos="4753"/>
        </w:tabs>
        <w:ind w:left="4753" w:hanging="360"/>
      </w:pPr>
    </w:lvl>
    <w:lvl w:ilvl="7" w:tplc="04090019" w:tentative="1">
      <w:start w:val="1"/>
      <w:numFmt w:val="lowerLetter"/>
      <w:lvlText w:val="%8."/>
      <w:lvlJc w:val="left"/>
      <w:pPr>
        <w:tabs>
          <w:tab w:val="num" w:pos="5473"/>
        </w:tabs>
        <w:ind w:left="5473" w:hanging="360"/>
      </w:pPr>
    </w:lvl>
    <w:lvl w:ilvl="8" w:tplc="0409001B" w:tentative="1">
      <w:start w:val="1"/>
      <w:numFmt w:val="lowerRoman"/>
      <w:lvlText w:val="%9."/>
      <w:lvlJc w:val="right"/>
      <w:pPr>
        <w:tabs>
          <w:tab w:val="num" w:pos="6193"/>
        </w:tabs>
        <w:ind w:left="6193" w:hanging="180"/>
      </w:pPr>
    </w:lvl>
  </w:abstractNum>
  <w:abstractNum w:abstractNumId="15" w15:restartNumberingAfterBreak="0">
    <w:nsid w:val="72462BBF"/>
    <w:multiLevelType w:val="hybridMultilevel"/>
    <w:tmpl w:val="D10AFA98"/>
    <w:lvl w:ilvl="0" w:tplc="191C9566">
      <w:start w:val="1"/>
      <w:numFmt w:val="lowerLetter"/>
      <w:lvlText w:val="(%1)"/>
      <w:lvlJc w:val="left"/>
      <w:pPr>
        <w:ind w:left="1980" w:hanging="420"/>
      </w:pPr>
      <w:rPr>
        <w:rFonts w:ascii="Calibri" w:hAnsi="Calibri" w:hint="default"/>
        <w:i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76BB2EF7"/>
    <w:multiLevelType w:val="hybridMultilevel"/>
    <w:tmpl w:val="63180422"/>
    <w:lvl w:ilvl="0" w:tplc="6B504AE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13594"/>
    <w:multiLevelType w:val="hybridMultilevel"/>
    <w:tmpl w:val="B59A6708"/>
    <w:lvl w:ilvl="0" w:tplc="191C9566">
      <w:start w:val="1"/>
      <w:numFmt w:val="lowerLetter"/>
      <w:lvlText w:val="(%1)"/>
      <w:lvlJc w:val="left"/>
      <w:pPr>
        <w:ind w:left="1129" w:hanging="420"/>
      </w:pPr>
      <w:rPr>
        <w:rFonts w:ascii="Calibri" w:hAnsi="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6"/>
  </w:num>
  <w:num w:numId="5">
    <w:abstractNumId w:val="16"/>
  </w:num>
  <w:num w:numId="6">
    <w:abstractNumId w:val="10"/>
  </w:num>
  <w:num w:numId="7">
    <w:abstractNumId w:val="1"/>
  </w:num>
  <w:num w:numId="8">
    <w:abstractNumId w:val="17"/>
  </w:num>
  <w:num w:numId="9">
    <w:abstractNumId w:val="15"/>
  </w:num>
  <w:num w:numId="10">
    <w:abstractNumId w:val="0"/>
  </w:num>
  <w:num w:numId="11">
    <w:abstractNumId w:val="9"/>
  </w:num>
  <w:num w:numId="12">
    <w:abstractNumId w:val="2"/>
  </w:num>
  <w:num w:numId="13">
    <w:abstractNumId w:val="14"/>
  </w:num>
  <w:num w:numId="14">
    <w:abstractNumId w:val="4"/>
  </w:num>
  <w:num w:numId="15">
    <w:abstractNumId w:val="3"/>
  </w:num>
  <w:num w:numId="16">
    <w:abstractNumId w:val="8"/>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62"/>
    <w:rsid w:val="000022BA"/>
    <w:rsid w:val="0000601C"/>
    <w:rsid w:val="00024BA5"/>
    <w:rsid w:val="0002674C"/>
    <w:rsid w:val="0003074A"/>
    <w:rsid w:val="00044E8C"/>
    <w:rsid w:val="00046958"/>
    <w:rsid w:val="00051310"/>
    <w:rsid w:val="00052008"/>
    <w:rsid w:val="00052D59"/>
    <w:rsid w:val="00066DC6"/>
    <w:rsid w:val="00067832"/>
    <w:rsid w:val="000968FC"/>
    <w:rsid w:val="000A3B91"/>
    <w:rsid w:val="000B3A7B"/>
    <w:rsid w:val="000B4C86"/>
    <w:rsid w:val="000D06FB"/>
    <w:rsid w:val="000E3A9C"/>
    <w:rsid w:val="000E70EC"/>
    <w:rsid w:val="000F70EA"/>
    <w:rsid w:val="000F7414"/>
    <w:rsid w:val="0010332E"/>
    <w:rsid w:val="00106142"/>
    <w:rsid w:val="00110FBC"/>
    <w:rsid w:val="00114B8E"/>
    <w:rsid w:val="00124AFB"/>
    <w:rsid w:val="001542C9"/>
    <w:rsid w:val="0017249C"/>
    <w:rsid w:val="00181F3C"/>
    <w:rsid w:val="001831B0"/>
    <w:rsid w:val="00183F08"/>
    <w:rsid w:val="0019036D"/>
    <w:rsid w:val="001967C9"/>
    <w:rsid w:val="001A2EC6"/>
    <w:rsid w:val="001A740C"/>
    <w:rsid w:val="001A7415"/>
    <w:rsid w:val="001B0588"/>
    <w:rsid w:val="001B2BEF"/>
    <w:rsid w:val="001B3F6E"/>
    <w:rsid w:val="001C4994"/>
    <w:rsid w:val="001C6C20"/>
    <w:rsid w:val="001E0A36"/>
    <w:rsid w:val="001E4485"/>
    <w:rsid w:val="00202F92"/>
    <w:rsid w:val="00203D03"/>
    <w:rsid w:val="00203F45"/>
    <w:rsid w:val="0020433B"/>
    <w:rsid w:val="00212B9F"/>
    <w:rsid w:val="00212BED"/>
    <w:rsid w:val="00216717"/>
    <w:rsid w:val="00220B16"/>
    <w:rsid w:val="002224CF"/>
    <w:rsid w:val="0022796C"/>
    <w:rsid w:val="00230310"/>
    <w:rsid w:val="00230CB7"/>
    <w:rsid w:val="00230D76"/>
    <w:rsid w:val="00237316"/>
    <w:rsid w:val="002469BE"/>
    <w:rsid w:val="002514E1"/>
    <w:rsid w:val="002538C9"/>
    <w:rsid w:val="0025515B"/>
    <w:rsid w:val="0026236D"/>
    <w:rsid w:val="002643C2"/>
    <w:rsid w:val="00271DC1"/>
    <w:rsid w:val="00273542"/>
    <w:rsid w:val="00273658"/>
    <w:rsid w:val="00274F01"/>
    <w:rsid w:val="002833EE"/>
    <w:rsid w:val="00286543"/>
    <w:rsid w:val="00287287"/>
    <w:rsid w:val="0029046D"/>
    <w:rsid w:val="00290C9A"/>
    <w:rsid w:val="00293706"/>
    <w:rsid w:val="00296C82"/>
    <w:rsid w:val="002B25A1"/>
    <w:rsid w:val="002B2D3D"/>
    <w:rsid w:val="002B3A55"/>
    <w:rsid w:val="002B426B"/>
    <w:rsid w:val="002C2564"/>
    <w:rsid w:val="002D2015"/>
    <w:rsid w:val="002E0056"/>
    <w:rsid w:val="002E4FA9"/>
    <w:rsid w:val="002E524C"/>
    <w:rsid w:val="002E60DF"/>
    <w:rsid w:val="003010CE"/>
    <w:rsid w:val="00303014"/>
    <w:rsid w:val="00304D3E"/>
    <w:rsid w:val="00306F84"/>
    <w:rsid w:val="00321CD7"/>
    <w:rsid w:val="0032782A"/>
    <w:rsid w:val="00330781"/>
    <w:rsid w:val="00332D75"/>
    <w:rsid w:val="00340C0D"/>
    <w:rsid w:val="00342E87"/>
    <w:rsid w:val="003474BD"/>
    <w:rsid w:val="00355D21"/>
    <w:rsid w:val="003567F8"/>
    <w:rsid w:val="00366ED4"/>
    <w:rsid w:val="003A1DB5"/>
    <w:rsid w:val="003A42B8"/>
    <w:rsid w:val="003B0B1B"/>
    <w:rsid w:val="003B1224"/>
    <w:rsid w:val="003B7DC1"/>
    <w:rsid w:val="003D6A5D"/>
    <w:rsid w:val="003E0E23"/>
    <w:rsid w:val="003E6E9A"/>
    <w:rsid w:val="003E6FA0"/>
    <w:rsid w:val="003F130F"/>
    <w:rsid w:val="003F2882"/>
    <w:rsid w:val="00404C01"/>
    <w:rsid w:val="00405080"/>
    <w:rsid w:val="004056E6"/>
    <w:rsid w:val="00420882"/>
    <w:rsid w:val="0042698C"/>
    <w:rsid w:val="00441B87"/>
    <w:rsid w:val="004426B7"/>
    <w:rsid w:val="004460AD"/>
    <w:rsid w:val="00446831"/>
    <w:rsid w:val="00466F13"/>
    <w:rsid w:val="004704E1"/>
    <w:rsid w:val="00471549"/>
    <w:rsid w:val="00480A47"/>
    <w:rsid w:val="004846CA"/>
    <w:rsid w:val="00485011"/>
    <w:rsid w:val="0049256D"/>
    <w:rsid w:val="00495431"/>
    <w:rsid w:val="004A0774"/>
    <w:rsid w:val="004A7D34"/>
    <w:rsid w:val="004B5FAB"/>
    <w:rsid w:val="004B7859"/>
    <w:rsid w:val="004D2624"/>
    <w:rsid w:val="004D5323"/>
    <w:rsid w:val="004E10E5"/>
    <w:rsid w:val="004E360A"/>
    <w:rsid w:val="004F1D57"/>
    <w:rsid w:val="00505230"/>
    <w:rsid w:val="00506C7A"/>
    <w:rsid w:val="00512952"/>
    <w:rsid w:val="00514EF3"/>
    <w:rsid w:val="00515974"/>
    <w:rsid w:val="005170FA"/>
    <w:rsid w:val="005172EE"/>
    <w:rsid w:val="00517DDE"/>
    <w:rsid w:val="00530C88"/>
    <w:rsid w:val="00532DFC"/>
    <w:rsid w:val="00534674"/>
    <w:rsid w:val="00540A23"/>
    <w:rsid w:val="00542C0A"/>
    <w:rsid w:val="00565811"/>
    <w:rsid w:val="005708E6"/>
    <w:rsid w:val="0057427E"/>
    <w:rsid w:val="005745D9"/>
    <w:rsid w:val="005750C5"/>
    <w:rsid w:val="005801FB"/>
    <w:rsid w:val="00581D4E"/>
    <w:rsid w:val="00592B89"/>
    <w:rsid w:val="005943CD"/>
    <w:rsid w:val="005A0EA3"/>
    <w:rsid w:val="005A572A"/>
    <w:rsid w:val="005A5A9A"/>
    <w:rsid w:val="005A7079"/>
    <w:rsid w:val="005B42E4"/>
    <w:rsid w:val="005C3F82"/>
    <w:rsid w:val="005E36A2"/>
    <w:rsid w:val="005F55BD"/>
    <w:rsid w:val="0060058E"/>
    <w:rsid w:val="0060196B"/>
    <w:rsid w:val="00611950"/>
    <w:rsid w:val="00632537"/>
    <w:rsid w:val="006443E5"/>
    <w:rsid w:val="00646CB1"/>
    <w:rsid w:val="006501F9"/>
    <w:rsid w:val="00666E7D"/>
    <w:rsid w:val="006679D2"/>
    <w:rsid w:val="006755DE"/>
    <w:rsid w:val="0068245F"/>
    <w:rsid w:val="00682B6B"/>
    <w:rsid w:val="006838E0"/>
    <w:rsid w:val="00690CD8"/>
    <w:rsid w:val="0069280D"/>
    <w:rsid w:val="006945BA"/>
    <w:rsid w:val="00695BF4"/>
    <w:rsid w:val="00695CA5"/>
    <w:rsid w:val="00696FB8"/>
    <w:rsid w:val="006A2140"/>
    <w:rsid w:val="006B1750"/>
    <w:rsid w:val="006C4F47"/>
    <w:rsid w:val="006D1290"/>
    <w:rsid w:val="006F3564"/>
    <w:rsid w:val="006F4DA8"/>
    <w:rsid w:val="00700F31"/>
    <w:rsid w:val="007019D0"/>
    <w:rsid w:val="00703E05"/>
    <w:rsid w:val="00714763"/>
    <w:rsid w:val="00726330"/>
    <w:rsid w:val="00735A6F"/>
    <w:rsid w:val="007409F8"/>
    <w:rsid w:val="00744667"/>
    <w:rsid w:val="007447F7"/>
    <w:rsid w:val="00775081"/>
    <w:rsid w:val="00781F14"/>
    <w:rsid w:val="00783FA2"/>
    <w:rsid w:val="00792447"/>
    <w:rsid w:val="007941BC"/>
    <w:rsid w:val="007A21AC"/>
    <w:rsid w:val="007A3D9D"/>
    <w:rsid w:val="007B13EA"/>
    <w:rsid w:val="007B1852"/>
    <w:rsid w:val="007B2D62"/>
    <w:rsid w:val="007B7E9B"/>
    <w:rsid w:val="007C01E7"/>
    <w:rsid w:val="007C0D42"/>
    <w:rsid w:val="007D0FA3"/>
    <w:rsid w:val="007D42E2"/>
    <w:rsid w:val="007D574A"/>
    <w:rsid w:val="007E21CC"/>
    <w:rsid w:val="007E3D25"/>
    <w:rsid w:val="007E4192"/>
    <w:rsid w:val="008001B4"/>
    <w:rsid w:val="00801DD2"/>
    <w:rsid w:val="00810292"/>
    <w:rsid w:val="008303C3"/>
    <w:rsid w:val="00841348"/>
    <w:rsid w:val="00843F6E"/>
    <w:rsid w:val="00855DF1"/>
    <w:rsid w:val="0086622F"/>
    <w:rsid w:val="0087142E"/>
    <w:rsid w:val="00873934"/>
    <w:rsid w:val="0087724A"/>
    <w:rsid w:val="0088073F"/>
    <w:rsid w:val="00885919"/>
    <w:rsid w:val="00890A4C"/>
    <w:rsid w:val="00893976"/>
    <w:rsid w:val="00896768"/>
    <w:rsid w:val="008A1BA9"/>
    <w:rsid w:val="008A68D9"/>
    <w:rsid w:val="008B181F"/>
    <w:rsid w:val="008B6FF7"/>
    <w:rsid w:val="008C2D67"/>
    <w:rsid w:val="008D414C"/>
    <w:rsid w:val="008D4431"/>
    <w:rsid w:val="008E141C"/>
    <w:rsid w:val="008E7DAD"/>
    <w:rsid w:val="008F2E8A"/>
    <w:rsid w:val="008F3C6D"/>
    <w:rsid w:val="00901553"/>
    <w:rsid w:val="0090407F"/>
    <w:rsid w:val="0090743A"/>
    <w:rsid w:val="00913289"/>
    <w:rsid w:val="0091651A"/>
    <w:rsid w:val="0092005A"/>
    <w:rsid w:val="00923176"/>
    <w:rsid w:val="00925E62"/>
    <w:rsid w:val="00930AFD"/>
    <w:rsid w:val="00931954"/>
    <w:rsid w:val="009377EE"/>
    <w:rsid w:val="00952E57"/>
    <w:rsid w:val="00962571"/>
    <w:rsid w:val="009627D9"/>
    <w:rsid w:val="00966573"/>
    <w:rsid w:val="00977D8B"/>
    <w:rsid w:val="0099255B"/>
    <w:rsid w:val="00992FFE"/>
    <w:rsid w:val="009A07FF"/>
    <w:rsid w:val="009A18A0"/>
    <w:rsid w:val="009B1600"/>
    <w:rsid w:val="009B2B74"/>
    <w:rsid w:val="009B340B"/>
    <w:rsid w:val="009C1D38"/>
    <w:rsid w:val="009C78AB"/>
    <w:rsid w:val="009D0E7F"/>
    <w:rsid w:val="009D185E"/>
    <w:rsid w:val="009D3686"/>
    <w:rsid w:val="009D432A"/>
    <w:rsid w:val="009D4945"/>
    <w:rsid w:val="009D4B6E"/>
    <w:rsid w:val="009E0888"/>
    <w:rsid w:val="009E0B7A"/>
    <w:rsid w:val="009F0201"/>
    <w:rsid w:val="009F4807"/>
    <w:rsid w:val="009F5488"/>
    <w:rsid w:val="009F6E3B"/>
    <w:rsid w:val="00A00EA1"/>
    <w:rsid w:val="00A053CB"/>
    <w:rsid w:val="00A05700"/>
    <w:rsid w:val="00A1104D"/>
    <w:rsid w:val="00A13A75"/>
    <w:rsid w:val="00A239EE"/>
    <w:rsid w:val="00A261F4"/>
    <w:rsid w:val="00A367A4"/>
    <w:rsid w:val="00A5235B"/>
    <w:rsid w:val="00A534B3"/>
    <w:rsid w:val="00A57FE4"/>
    <w:rsid w:val="00A658E9"/>
    <w:rsid w:val="00A66C5A"/>
    <w:rsid w:val="00A72C9D"/>
    <w:rsid w:val="00A85BFB"/>
    <w:rsid w:val="00AA6FF0"/>
    <w:rsid w:val="00AA7558"/>
    <w:rsid w:val="00AB08AF"/>
    <w:rsid w:val="00AB5E67"/>
    <w:rsid w:val="00AC51D5"/>
    <w:rsid w:val="00AE0262"/>
    <w:rsid w:val="00AF11ED"/>
    <w:rsid w:val="00AF3BAC"/>
    <w:rsid w:val="00AF437C"/>
    <w:rsid w:val="00B023BD"/>
    <w:rsid w:val="00B054FD"/>
    <w:rsid w:val="00B11BAD"/>
    <w:rsid w:val="00B167F2"/>
    <w:rsid w:val="00B32751"/>
    <w:rsid w:val="00B403F5"/>
    <w:rsid w:val="00B5270E"/>
    <w:rsid w:val="00B54573"/>
    <w:rsid w:val="00B55083"/>
    <w:rsid w:val="00B60A30"/>
    <w:rsid w:val="00B65107"/>
    <w:rsid w:val="00B65D8E"/>
    <w:rsid w:val="00B67643"/>
    <w:rsid w:val="00B7548E"/>
    <w:rsid w:val="00B84DDE"/>
    <w:rsid w:val="00B8658B"/>
    <w:rsid w:val="00B868D2"/>
    <w:rsid w:val="00B87112"/>
    <w:rsid w:val="00B8782C"/>
    <w:rsid w:val="00B941FE"/>
    <w:rsid w:val="00B96211"/>
    <w:rsid w:val="00BA0AE0"/>
    <w:rsid w:val="00BA1E28"/>
    <w:rsid w:val="00BA1F5D"/>
    <w:rsid w:val="00BA444E"/>
    <w:rsid w:val="00BB2690"/>
    <w:rsid w:val="00BC0F1B"/>
    <w:rsid w:val="00BC4286"/>
    <w:rsid w:val="00BC512D"/>
    <w:rsid w:val="00BD203F"/>
    <w:rsid w:val="00BD6510"/>
    <w:rsid w:val="00BE159B"/>
    <w:rsid w:val="00BF4776"/>
    <w:rsid w:val="00BF494F"/>
    <w:rsid w:val="00C00804"/>
    <w:rsid w:val="00C06CFB"/>
    <w:rsid w:val="00C07CA0"/>
    <w:rsid w:val="00C1678D"/>
    <w:rsid w:val="00C20A10"/>
    <w:rsid w:val="00C36A21"/>
    <w:rsid w:val="00C4641D"/>
    <w:rsid w:val="00C47980"/>
    <w:rsid w:val="00C518FA"/>
    <w:rsid w:val="00C51B40"/>
    <w:rsid w:val="00C550C5"/>
    <w:rsid w:val="00C5543F"/>
    <w:rsid w:val="00C60AB5"/>
    <w:rsid w:val="00C61F3C"/>
    <w:rsid w:val="00C723F0"/>
    <w:rsid w:val="00C838A7"/>
    <w:rsid w:val="00C84A31"/>
    <w:rsid w:val="00C863FE"/>
    <w:rsid w:val="00C87185"/>
    <w:rsid w:val="00C93CCB"/>
    <w:rsid w:val="00C96796"/>
    <w:rsid w:val="00C97F04"/>
    <w:rsid w:val="00CA33E5"/>
    <w:rsid w:val="00CA3422"/>
    <w:rsid w:val="00CB0F06"/>
    <w:rsid w:val="00CB4C4F"/>
    <w:rsid w:val="00CB6A24"/>
    <w:rsid w:val="00CB7E18"/>
    <w:rsid w:val="00CC220F"/>
    <w:rsid w:val="00CC30AF"/>
    <w:rsid w:val="00CC3297"/>
    <w:rsid w:val="00CC3985"/>
    <w:rsid w:val="00CE5A9F"/>
    <w:rsid w:val="00CE7667"/>
    <w:rsid w:val="00CF7E52"/>
    <w:rsid w:val="00D02325"/>
    <w:rsid w:val="00D02474"/>
    <w:rsid w:val="00D127C8"/>
    <w:rsid w:val="00D14B47"/>
    <w:rsid w:val="00D17988"/>
    <w:rsid w:val="00D23C81"/>
    <w:rsid w:val="00D275AD"/>
    <w:rsid w:val="00D30E78"/>
    <w:rsid w:val="00D32D98"/>
    <w:rsid w:val="00D341B8"/>
    <w:rsid w:val="00D3523A"/>
    <w:rsid w:val="00D40559"/>
    <w:rsid w:val="00D4263E"/>
    <w:rsid w:val="00D52B8D"/>
    <w:rsid w:val="00D54892"/>
    <w:rsid w:val="00D60A36"/>
    <w:rsid w:val="00D61820"/>
    <w:rsid w:val="00D66221"/>
    <w:rsid w:val="00D663DB"/>
    <w:rsid w:val="00D7272B"/>
    <w:rsid w:val="00D7315D"/>
    <w:rsid w:val="00D75F5A"/>
    <w:rsid w:val="00D82040"/>
    <w:rsid w:val="00D824AE"/>
    <w:rsid w:val="00D878C3"/>
    <w:rsid w:val="00D907F1"/>
    <w:rsid w:val="00D95C27"/>
    <w:rsid w:val="00DB2900"/>
    <w:rsid w:val="00DC33B2"/>
    <w:rsid w:val="00DD42F5"/>
    <w:rsid w:val="00DE0CFC"/>
    <w:rsid w:val="00DE1491"/>
    <w:rsid w:val="00DE3920"/>
    <w:rsid w:val="00DF7105"/>
    <w:rsid w:val="00DF7D4E"/>
    <w:rsid w:val="00E024C7"/>
    <w:rsid w:val="00E025C9"/>
    <w:rsid w:val="00E13684"/>
    <w:rsid w:val="00E20455"/>
    <w:rsid w:val="00E3614B"/>
    <w:rsid w:val="00E36178"/>
    <w:rsid w:val="00E43A08"/>
    <w:rsid w:val="00E4514F"/>
    <w:rsid w:val="00E4599E"/>
    <w:rsid w:val="00E46EE2"/>
    <w:rsid w:val="00E61AF1"/>
    <w:rsid w:val="00E65E81"/>
    <w:rsid w:val="00E662B4"/>
    <w:rsid w:val="00E72410"/>
    <w:rsid w:val="00E72452"/>
    <w:rsid w:val="00E77CE6"/>
    <w:rsid w:val="00E87BFA"/>
    <w:rsid w:val="00EA1DC8"/>
    <w:rsid w:val="00EB283E"/>
    <w:rsid w:val="00EB7C3E"/>
    <w:rsid w:val="00EC30BA"/>
    <w:rsid w:val="00EC3EFA"/>
    <w:rsid w:val="00EC7738"/>
    <w:rsid w:val="00ED1D0C"/>
    <w:rsid w:val="00ED1DC5"/>
    <w:rsid w:val="00EE50E5"/>
    <w:rsid w:val="00EE56CF"/>
    <w:rsid w:val="00F008A4"/>
    <w:rsid w:val="00F27BA3"/>
    <w:rsid w:val="00F31D6F"/>
    <w:rsid w:val="00F4093E"/>
    <w:rsid w:val="00F505FA"/>
    <w:rsid w:val="00F53C6D"/>
    <w:rsid w:val="00F63F9B"/>
    <w:rsid w:val="00F64A77"/>
    <w:rsid w:val="00F65495"/>
    <w:rsid w:val="00F76F83"/>
    <w:rsid w:val="00F9173E"/>
    <w:rsid w:val="00FA311A"/>
    <w:rsid w:val="00FA654D"/>
    <w:rsid w:val="00FA7B84"/>
    <w:rsid w:val="00FB13DC"/>
    <w:rsid w:val="00FB15E4"/>
    <w:rsid w:val="00FB1C9A"/>
    <w:rsid w:val="00FB2210"/>
    <w:rsid w:val="00FB3F6D"/>
    <w:rsid w:val="00FB4844"/>
    <w:rsid w:val="00FB6BEA"/>
    <w:rsid w:val="00FC4393"/>
    <w:rsid w:val="00FD5B02"/>
    <w:rsid w:val="00FD71EF"/>
    <w:rsid w:val="00FE041A"/>
    <w:rsid w:val="00FE1CF6"/>
    <w:rsid w:val="00FE2F68"/>
    <w:rsid w:val="00FE7B4E"/>
    <w:rsid w:val="00FF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E7FAE0"/>
  <w15:docId w15:val="{D4BBDAC3-4AA2-439D-AF0E-F5F2870F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03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unhideWhenUsed/>
    <w:qFormat/>
    <w:rsid w:val="0002674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Case">
    <w:name w:val="Style Case"/>
    <w:basedOn w:val="TableNormal"/>
    <w:uiPriority w:val="99"/>
    <w:rsid w:val="00B11BAD"/>
    <w:pPr>
      <w:spacing w:after="0" w:line="240" w:lineRule="auto"/>
      <w:jc w:val="right"/>
    </w:pPr>
    <w:rPr>
      <w:sz w:val="18"/>
    </w:rPr>
    <w:tblPr/>
    <w:tcPr>
      <w:vAlign w:val="center"/>
    </w:tcPr>
    <w:tblStylePr w:type="firstRow">
      <w:rPr>
        <w:rFonts w:asciiTheme="minorHAnsi" w:hAnsiTheme="minorHAnsi"/>
        <w:b/>
        <w:sz w:val="18"/>
      </w:rPr>
      <w:tblPr/>
      <w:tcPr>
        <w:tcBorders>
          <w:top w:val="nil"/>
          <w:left w:val="nil"/>
          <w:bottom w:val="nil"/>
          <w:right w:val="nil"/>
          <w:insideH w:val="nil"/>
          <w:insideV w:val="nil"/>
          <w:tl2br w:val="nil"/>
          <w:tr2bl w:val="nil"/>
        </w:tcBorders>
      </w:tcPr>
    </w:tblStylePr>
    <w:tblStylePr w:type="firstCol">
      <w:pPr>
        <w:jc w:val="left"/>
      </w:pPr>
    </w:tblStylePr>
  </w:style>
  <w:style w:type="table" w:styleId="TableGrid">
    <w:name w:val="Table Grid"/>
    <w:aliases w:val="Table CASE2"/>
    <w:basedOn w:val="TableNormal"/>
    <w:uiPriority w:val="59"/>
    <w:rsid w:val="009C78AB"/>
    <w:pPr>
      <w:spacing w:after="0" w:line="240" w:lineRule="auto"/>
      <w:ind w:right="113"/>
      <w:contextualSpacing/>
      <w:jc w:val="right"/>
    </w:pPr>
    <w:rPr>
      <w:sz w:val="18"/>
    </w:rPr>
    <w:tblPr>
      <w:tblBorders>
        <w:bottom w:val="single" w:sz="4" w:space="0" w:color="auto"/>
      </w:tblBorders>
    </w:tblPr>
    <w:tcPr>
      <w:vAlign w:val="center"/>
    </w:tcPr>
    <w:tblStylePr w:type="firstRow">
      <w:pPr>
        <w:jc w:val="right"/>
      </w:pPr>
      <w:rPr>
        <w:b/>
      </w:rPr>
      <w:tblPr/>
      <w:tcPr>
        <w:tcBorders>
          <w:top w:val="single" w:sz="4" w:space="0" w:color="auto"/>
          <w:left w:val="nil"/>
          <w:bottom w:val="single" w:sz="4" w:space="0" w:color="auto"/>
          <w:right w:val="nil"/>
        </w:tcBorders>
      </w:tcPr>
    </w:tblStylePr>
    <w:tblStylePr w:type="lastRow">
      <w:tblPr/>
      <w:tcPr>
        <w:tcBorders>
          <w:bottom w:val="single" w:sz="4" w:space="0" w:color="auto"/>
        </w:tcBorders>
      </w:tcPr>
    </w:tblStylePr>
    <w:tblStylePr w:type="firstCol">
      <w:pPr>
        <w:jc w:val="left"/>
      </w:pPr>
    </w:tblStylePr>
  </w:style>
  <w:style w:type="table" w:customStyle="1" w:styleId="ColorfulList1">
    <w:name w:val="Colorful List1"/>
    <w:basedOn w:val="TableNormal"/>
    <w:uiPriority w:val="72"/>
    <w:rsid w:val="0032782A"/>
    <w:pPr>
      <w:spacing w:after="0" w:line="240" w:lineRule="auto"/>
      <w:jc w:val="center"/>
    </w:pPr>
    <w:rPr>
      <w:color w:val="000000" w:themeColor="text1"/>
      <w:sz w:val="20"/>
    </w:rPr>
    <w:tblPr>
      <w:tblStyleRowBandSize w:val="1"/>
      <w:tblStyleColBandSize w:val="1"/>
      <w:jc w:val="center"/>
    </w:tblPr>
    <w:trPr>
      <w:jc w:val="center"/>
    </w:trPr>
    <w:tcPr>
      <w:shd w:val="clear" w:color="auto" w:fill="E6E6E6" w:themeFill="text1" w:themeFillTint="19"/>
      <w:vAlign w:val="center"/>
    </w:tcPr>
    <w:tblStylePr w:type="firstRow">
      <w:rPr>
        <w:b/>
        <w:bCs/>
        <w:color w:val="FFFFFF" w:themeColor="background1"/>
      </w:rPr>
      <w:tblPr/>
      <w:tcPr>
        <w:shd w:val="clear" w:color="auto" w:fill="85312F"/>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customStyle="1" w:styleId="MazarsReport1">
    <w:name w:val="Mazars Report 1"/>
    <w:basedOn w:val="Normal"/>
    <w:next w:val="MazarsFISReport2"/>
    <w:rsid w:val="00C5543F"/>
    <w:pPr>
      <w:pageBreakBefore/>
      <w:numPr>
        <w:numId w:val="1"/>
      </w:numPr>
      <w:spacing w:before="160" w:after="480" w:line="360" w:lineRule="auto"/>
      <w:ind w:left="851" w:hanging="851"/>
      <w:jc w:val="both"/>
      <w:outlineLvl w:val="0"/>
    </w:pPr>
    <w:rPr>
      <w:rFonts w:ascii="Arial" w:eastAsia="Times New Roman" w:hAnsi="Arial" w:cs="Arial"/>
      <w:b/>
      <w:sz w:val="28"/>
      <w:szCs w:val="20"/>
    </w:rPr>
  </w:style>
  <w:style w:type="paragraph" w:customStyle="1" w:styleId="MazarsFISReport2">
    <w:name w:val="Mazars FIS Report 2"/>
    <w:basedOn w:val="MazarsReport1"/>
    <w:next w:val="MazarsFISReport6"/>
    <w:rsid w:val="00C5543F"/>
    <w:pPr>
      <w:keepNext/>
      <w:pageBreakBefore w:val="0"/>
      <w:numPr>
        <w:ilvl w:val="1"/>
      </w:numPr>
      <w:tabs>
        <w:tab w:val="clear" w:pos="1620"/>
        <w:tab w:val="num" w:pos="360"/>
      </w:tabs>
      <w:spacing w:before="0" w:after="240"/>
      <w:ind w:left="851" w:hanging="851"/>
      <w:outlineLvl w:val="1"/>
    </w:pPr>
    <w:rPr>
      <w:sz w:val="22"/>
      <w:szCs w:val="22"/>
    </w:rPr>
  </w:style>
  <w:style w:type="paragraph" w:customStyle="1" w:styleId="MazarsFISReport6">
    <w:name w:val="Mazars FIS Report 6"/>
    <w:basedOn w:val="MazarsReport1"/>
    <w:link w:val="MazarsFISReport6Char"/>
    <w:rsid w:val="00C5543F"/>
    <w:pPr>
      <w:pageBreakBefore w:val="0"/>
      <w:numPr>
        <w:ilvl w:val="2"/>
      </w:numPr>
      <w:spacing w:before="0" w:after="240"/>
      <w:outlineLvl w:val="9"/>
    </w:pPr>
    <w:rPr>
      <w:rFonts w:ascii="Times New Roman" w:hAnsi="Times New Roman" w:cs="Times New Roman"/>
      <w:b w:val="0"/>
      <w:sz w:val="22"/>
    </w:rPr>
  </w:style>
  <w:style w:type="paragraph" w:customStyle="1" w:styleId="MazarsFISReport7">
    <w:name w:val="Mazars FIS Report 7"/>
    <w:basedOn w:val="MazarsReport1"/>
    <w:link w:val="MazarsFISReport7Char"/>
    <w:rsid w:val="00C5543F"/>
    <w:pPr>
      <w:pageBreakBefore w:val="0"/>
      <w:numPr>
        <w:ilvl w:val="3"/>
      </w:numPr>
      <w:spacing w:before="0" w:after="240"/>
      <w:outlineLvl w:val="9"/>
    </w:pPr>
    <w:rPr>
      <w:rFonts w:ascii="Times New Roman" w:hAnsi="Times New Roman" w:cs="Times New Roman"/>
      <w:b w:val="0"/>
      <w:sz w:val="22"/>
    </w:rPr>
  </w:style>
  <w:style w:type="paragraph" w:customStyle="1" w:styleId="MazarsFISReport8">
    <w:name w:val="Mazars FIS Report 8"/>
    <w:basedOn w:val="MazarsReport1"/>
    <w:rsid w:val="00C5543F"/>
    <w:pPr>
      <w:pageBreakBefore w:val="0"/>
      <w:numPr>
        <w:ilvl w:val="4"/>
      </w:numPr>
      <w:spacing w:before="0" w:after="240"/>
      <w:ind w:left="1985"/>
      <w:outlineLvl w:val="9"/>
    </w:pPr>
    <w:rPr>
      <w:rFonts w:ascii="Times New Roman" w:hAnsi="Times New Roman" w:cs="Times New Roman"/>
      <w:b w:val="0"/>
      <w:sz w:val="22"/>
    </w:rPr>
  </w:style>
  <w:style w:type="character" w:customStyle="1" w:styleId="MazarsFISReport6Char">
    <w:name w:val="Mazars FIS Report 6 Char"/>
    <w:link w:val="MazarsFISReport6"/>
    <w:rsid w:val="00C5543F"/>
    <w:rPr>
      <w:rFonts w:ascii="Times New Roman" w:eastAsia="Times New Roman" w:hAnsi="Times New Roman" w:cs="Times New Roman"/>
      <w:szCs w:val="20"/>
    </w:rPr>
  </w:style>
  <w:style w:type="character" w:customStyle="1" w:styleId="fontstyle01">
    <w:name w:val="fontstyle01"/>
    <w:basedOn w:val="DefaultParagraphFont"/>
    <w:rsid w:val="00AB08AF"/>
    <w:rPr>
      <w:rFonts w:ascii="Helvetica-Bold" w:hAnsi="Helvetica-Bold" w:hint="default"/>
      <w:b/>
      <w:bCs/>
      <w:i w:val="0"/>
      <w:iCs w:val="0"/>
      <w:color w:val="000000"/>
      <w:sz w:val="24"/>
      <w:szCs w:val="24"/>
    </w:rPr>
  </w:style>
  <w:style w:type="character" w:customStyle="1" w:styleId="fontstyle21">
    <w:name w:val="fontstyle21"/>
    <w:basedOn w:val="DefaultParagraphFont"/>
    <w:rsid w:val="00AB08AF"/>
    <w:rPr>
      <w:rFonts w:ascii="Times-Roman" w:hAnsi="Times-Roman" w:hint="default"/>
      <w:b w:val="0"/>
      <w:bCs w:val="0"/>
      <w:i w:val="0"/>
      <w:iCs w:val="0"/>
      <w:color w:val="000000"/>
      <w:sz w:val="22"/>
      <w:szCs w:val="22"/>
    </w:rPr>
  </w:style>
  <w:style w:type="character" w:customStyle="1" w:styleId="fontstyle31">
    <w:name w:val="fontstyle31"/>
    <w:basedOn w:val="DefaultParagraphFont"/>
    <w:rsid w:val="00AB08AF"/>
    <w:rPr>
      <w:rFonts w:ascii="Times-Bold" w:hAnsi="Times-Bold" w:hint="default"/>
      <w:b/>
      <w:bCs/>
      <w:i w:val="0"/>
      <w:iCs w:val="0"/>
      <w:color w:val="000000"/>
      <w:sz w:val="22"/>
      <w:szCs w:val="22"/>
    </w:rPr>
  </w:style>
  <w:style w:type="character" w:customStyle="1" w:styleId="fontstyle41">
    <w:name w:val="fontstyle41"/>
    <w:basedOn w:val="DefaultParagraphFont"/>
    <w:rsid w:val="00AB08AF"/>
    <w:rPr>
      <w:rFonts w:ascii="Times-Italic" w:hAnsi="Times-Italic" w:hint="default"/>
      <w:b w:val="0"/>
      <w:bCs w:val="0"/>
      <w:i/>
      <w:iCs/>
      <w:color w:val="000000"/>
      <w:sz w:val="22"/>
      <w:szCs w:val="22"/>
    </w:rPr>
  </w:style>
  <w:style w:type="character" w:customStyle="1" w:styleId="fontstyle51">
    <w:name w:val="fontstyle51"/>
    <w:basedOn w:val="DefaultParagraphFont"/>
    <w:rsid w:val="00AB08AF"/>
    <w:rPr>
      <w:rFonts w:ascii="Helvetica" w:hAnsi="Helvetica" w:cs="Helvetica" w:hint="default"/>
      <w:b w:val="0"/>
      <w:bCs w:val="0"/>
      <w:i w:val="0"/>
      <w:iCs w:val="0"/>
      <w:color w:val="000000"/>
      <w:sz w:val="20"/>
      <w:szCs w:val="20"/>
    </w:rPr>
  </w:style>
  <w:style w:type="paragraph" w:styleId="BalloonText">
    <w:name w:val="Balloon Text"/>
    <w:basedOn w:val="Normal"/>
    <w:link w:val="BalloonTextChar"/>
    <w:uiPriority w:val="99"/>
    <w:semiHidden/>
    <w:unhideWhenUsed/>
    <w:rsid w:val="0023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B7"/>
    <w:rPr>
      <w:rFonts w:ascii="Tahoma" w:hAnsi="Tahoma" w:cs="Tahoma"/>
      <w:sz w:val="16"/>
      <w:szCs w:val="16"/>
    </w:rPr>
  </w:style>
  <w:style w:type="paragraph" w:styleId="FootnoteText">
    <w:name w:val="footnote text"/>
    <w:aliases w:val="fn,fn cafc,fn Char,footnote text Char,ft Char,fn cafc Char,Note de bas de page Car,footnote text,MA Footnote,Car,Footnotes,Footnote ak,Footnote Text Char Char,Footnotes Char Char,Footnote ak Char Char,Footnotes Char1,Footnote ak Char1"/>
    <w:basedOn w:val="Normal"/>
    <w:link w:val="FootnoteTextChar"/>
    <w:uiPriority w:val="99"/>
    <w:unhideWhenUsed/>
    <w:qFormat/>
    <w:rsid w:val="00A534B3"/>
    <w:pPr>
      <w:spacing w:after="0" w:line="240" w:lineRule="auto"/>
    </w:pPr>
    <w:rPr>
      <w:sz w:val="20"/>
      <w:szCs w:val="20"/>
    </w:rPr>
  </w:style>
  <w:style w:type="character" w:customStyle="1" w:styleId="FootnoteTextChar">
    <w:name w:val="Footnote Text Char"/>
    <w:aliases w:val="fn Char1,fn cafc Char1,fn Char Char,footnote text Char Char,ft Char Char,fn cafc Char Char,Note de bas de page Car Char,footnote text Char1,MA Footnote Char,Car Char,Footnotes Char,Footnote ak Char,Footnote Text Char Char Char"/>
    <w:basedOn w:val="DefaultParagraphFont"/>
    <w:link w:val="FootnoteText"/>
    <w:uiPriority w:val="99"/>
    <w:rsid w:val="00A534B3"/>
    <w:rPr>
      <w:sz w:val="20"/>
      <w:szCs w:val="20"/>
    </w:rPr>
  </w:style>
  <w:style w:type="character" w:styleId="FootnoteReference">
    <w:name w:val="footnote reference"/>
    <w:aliases w:val="Ref,de nota al pie,Footnote,Footnote symbol"/>
    <w:basedOn w:val="DefaultParagraphFont"/>
    <w:unhideWhenUsed/>
    <w:rsid w:val="00A534B3"/>
    <w:rPr>
      <w:vertAlign w:val="superscript"/>
    </w:rPr>
  </w:style>
  <w:style w:type="character" w:styleId="Hyperlink">
    <w:name w:val="Hyperlink"/>
    <w:basedOn w:val="DefaultParagraphFont"/>
    <w:uiPriority w:val="99"/>
    <w:unhideWhenUsed/>
    <w:rsid w:val="000D06FB"/>
    <w:rPr>
      <w:color w:val="0000FF" w:themeColor="hyperlink"/>
      <w:u w:val="single"/>
    </w:rPr>
  </w:style>
  <w:style w:type="character" w:customStyle="1" w:styleId="UnresolvedMention1">
    <w:name w:val="Unresolved Mention1"/>
    <w:basedOn w:val="DefaultParagraphFont"/>
    <w:uiPriority w:val="99"/>
    <w:semiHidden/>
    <w:unhideWhenUsed/>
    <w:rsid w:val="000D06FB"/>
    <w:rPr>
      <w:color w:val="808080"/>
      <w:shd w:val="clear" w:color="auto" w:fill="E6E6E6"/>
    </w:rPr>
  </w:style>
  <w:style w:type="paragraph" w:styleId="ListParagraph">
    <w:name w:val="List Paragraph"/>
    <w:basedOn w:val="Normal"/>
    <w:uiPriority w:val="34"/>
    <w:qFormat/>
    <w:rsid w:val="00C518FA"/>
    <w:pPr>
      <w:ind w:left="720"/>
      <w:contextualSpacing/>
    </w:pPr>
  </w:style>
  <w:style w:type="character" w:customStyle="1" w:styleId="UnresolvedMention2">
    <w:name w:val="Unresolved Mention2"/>
    <w:basedOn w:val="DefaultParagraphFont"/>
    <w:uiPriority w:val="99"/>
    <w:semiHidden/>
    <w:unhideWhenUsed/>
    <w:rsid w:val="00B67643"/>
    <w:rPr>
      <w:color w:val="808080"/>
      <w:shd w:val="clear" w:color="auto" w:fill="E6E6E6"/>
    </w:rPr>
  </w:style>
  <w:style w:type="paragraph" w:customStyle="1" w:styleId="Default">
    <w:name w:val="Default"/>
    <w:rsid w:val="00203F4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EFA"/>
  </w:style>
  <w:style w:type="paragraph" w:styleId="Footer">
    <w:name w:val="footer"/>
    <w:basedOn w:val="Normal"/>
    <w:link w:val="FooterChar"/>
    <w:uiPriority w:val="99"/>
    <w:unhideWhenUsed/>
    <w:rsid w:val="00EC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EFA"/>
  </w:style>
  <w:style w:type="character" w:customStyle="1" w:styleId="MazarsFISReport7Char">
    <w:name w:val="Mazars FIS Report 7 Char"/>
    <w:link w:val="MazarsFISReport7"/>
    <w:rsid w:val="00D275AD"/>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703E05"/>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99255B"/>
    <w:rPr>
      <w:color w:val="800080" w:themeColor="followedHyperlink"/>
      <w:u w:val="single"/>
    </w:rPr>
  </w:style>
  <w:style w:type="character" w:styleId="CommentReference">
    <w:name w:val="annotation reference"/>
    <w:basedOn w:val="DefaultParagraphFont"/>
    <w:uiPriority w:val="99"/>
    <w:semiHidden/>
    <w:unhideWhenUsed/>
    <w:rsid w:val="005E36A2"/>
    <w:rPr>
      <w:sz w:val="16"/>
      <w:szCs w:val="16"/>
    </w:rPr>
  </w:style>
  <w:style w:type="paragraph" w:styleId="CommentText">
    <w:name w:val="annotation text"/>
    <w:basedOn w:val="Normal"/>
    <w:link w:val="CommentTextChar"/>
    <w:uiPriority w:val="99"/>
    <w:semiHidden/>
    <w:unhideWhenUsed/>
    <w:rsid w:val="005E36A2"/>
    <w:pPr>
      <w:spacing w:line="240" w:lineRule="auto"/>
    </w:pPr>
    <w:rPr>
      <w:sz w:val="20"/>
      <w:szCs w:val="20"/>
    </w:rPr>
  </w:style>
  <w:style w:type="character" w:customStyle="1" w:styleId="CommentTextChar">
    <w:name w:val="Comment Text Char"/>
    <w:basedOn w:val="DefaultParagraphFont"/>
    <w:link w:val="CommentText"/>
    <w:uiPriority w:val="99"/>
    <w:semiHidden/>
    <w:rsid w:val="005E36A2"/>
    <w:rPr>
      <w:sz w:val="20"/>
      <w:szCs w:val="20"/>
    </w:rPr>
  </w:style>
  <w:style w:type="paragraph" w:styleId="CommentSubject">
    <w:name w:val="annotation subject"/>
    <w:basedOn w:val="CommentText"/>
    <w:next w:val="CommentText"/>
    <w:link w:val="CommentSubjectChar"/>
    <w:uiPriority w:val="99"/>
    <w:semiHidden/>
    <w:unhideWhenUsed/>
    <w:rsid w:val="005E36A2"/>
    <w:rPr>
      <w:b/>
      <w:bCs/>
    </w:rPr>
  </w:style>
  <w:style w:type="character" w:customStyle="1" w:styleId="CommentSubjectChar">
    <w:name w:val="Comment Subject Char"/>
    <w:basedOn w:val="CommentTextChar"/>
    <w:link w:val="CommentSubject"/>
    <w:uiPriority w:val="99"/>
    <w:semiHidden/>
    <w:rsid w:val="005E36A2"/>
    <w:rPr>
      <w:b/>
      <w:bCs/>
      <w:sz w:val="20"/>
      <w:szCs w:val="20"/>
    </w:rPr>
  </w:style>
  <w:style w:type="character" w:styleId="Emphasis">
    <w:name w:val="Emphasis"/>
    <w:basedOn w:val="DefaultParagraphFont"/>
    <w:uiPriority w:val="20"/>
    <w:qFormat/>
    <w:rsid w:val="00D32D98"/>
    <w:rPr>
      <w:i/>
      <w:iCs/>
    </w:rPr>
  </w:style>
  <w:style w:type="paragraph" w:styleId="NormalWeb">
    <w:name w:val="Normal (Web)"/>
    <w:basedOn w:val="Normal"/>
    <w:uiPriority w:val="99"/>
    <w:unhideWhenUsed/>
    <w:rsid w:val="00F409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Base">
    <w:name w:val="Footnote Base"/>
    <w:basedOn w:val="Normal"/>
    <w:rsid w:val="0087724A"/>
    <w:pPr>
      <w:spacing w:after="0" w:line="240" w:lineRule="auto"/>
    </w:pPr>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FC4393"/>
  </w:style>
  <w:style w:type="character" w:styleId="Strong">
    <w:name w:val="Strong"/>
    <w:basedOn w:val="DefaultParagraphFont"/>
    <w:uiPriority w:val="22"/>
    <w:qFormat/>
    <w:rsid w:val="009627D9"/>
    <w:rPr>
      <w:b/>
      <w:bCs/>
    </w:rPr>
  </w:style>
  <w:style w:type="character" w:styleId="UnresolvedMention">
    <w:name w:val="Unresolved Mention"/>
    <w:basedOn w:val="DefaultParagraphFont"/>
    <w:uiPriority w:val="99"/>
    <w:semiHidden/>
    <w:unhideWhenUsed/>
    <w:rsid w:val="00E77CE6"/>
    <w:rPr>
      <w:color w:val="605E5C"/>
      <w:shd w:val="clear" w:color="auto" w:fill="E1DFDD"/>
    </w:rPr>
  </w:style>
  <w:style w:type="character" w:customStyle="1" w:styleId="Heading8Char">
    <w:name w:val="Heading 8 Char"/>
    <w:basedOn w:val="DefaultParagraphFont"/>
    <w:link w:val="Heading8"/>
    <w:uiPriority w:val="9"/>
    <w:rsid w:val="0002674C"/>
    <w:rPr>
      <w:rFonts w:asciiTheme="majorHAnsi" w:eastAsiaTheme="majorEastAsia" w:hAnsiTheme="majorHAnsi" w:cstheme="majorBidi"/>
      <w:color w:val="272727" w:themeColor="text1" w:themeTint="D8"/>
      <w:sz w:val="21"/>
      <w:szCs w:val="21"/>
    </w:rPr>
  </w:style>
  <w:style w:type="paragraph" w:styleId="EndnoteText">
    <w:name w:val="endnote text"/>
    <w:basedOn w:val="Normal"/>
    <w:link w:val="EndnoteTextChar"/>
    <w:uiPriority w:val="99"/>
    <w:semiHidden/>
    <w:unhideWhenUsed/>
    <w:rsid w:val="000267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74C"/>
    <w:rPr>
      <w:sz w:val="20"/>
      <w:szCs w:val="20"/>
    </w:rPr>
  </w:style>
  <w:style w:type="character" w:styleId="EndnoteReference">
    <w:name w:val="endnote reference"/>
    <w:basedOn w:val="DefaultParagraphFont"/>
    <w:uiPriority w:val="99"/>
    <w:semiHidden/>
    <w:unhideWhenUsed/>
    <w:rsid w:val="0002674C"/>
    <w:rPr>
      <w:vertAlign w:val="superscript"/>
    </w:rPr>
  </w:style>
  <w:style w:type="paragraph" w:styleId="BodyText">
    <w:name w:val="Body Text"/>
    <w:basedOn w:val="Normal"/>
    <w:link w:val="BodyTextChar"/>
    <w:rsid w:val="00D824AE"/>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824A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1173">
      <w:bodyDiv w:val="1"/>
      <w:marLeft w:val="0"/>
      <w:marRight w:val="0"/>
      <w:marTop w:val="0"/>
      <w:marBottom w:val="0"/>
      <w:divBdr>
        <w:top w:val="none" w:sz="0" w:space="0" w:color="auto"/>
        <w:left w:val="none" w:sz="0" w:space="0" w:color="auto"/>
        <w:bottom w:val="none" w:sz="0" w:space="0" w:color="auto"/>
        <w:right w:val="none" w:sz="0" w:space="0" w:color="auto"/>
      </w:divBdr>
      <w:divsChild>
        <w:div w:id="1675767990">
          <w:marLeft w:val="0"/>
          <w:marRight w:val="0"/>
          <w:marTop w:val="0"/>
          <w:marBottom w:val="0"/>
          <w:divBdr>
            <w:top w:val="none" w:sz="0" w:space="0" w:color="auto"/>
            <w:left w:val="none" w:sz="0" w:space="0" w:color="auto"/>
            <w:bottom w:val="none" w:sz="0" w:space="0" w:color="auto"/>
            <w:right w:val="none" w:sz="0" w:space="0" w:color="auto"/>
          </w:divBdr>
        </w:div>
        <w:div w:id="1409500508">
          <w:marLeft w:val="0"/>
          <w:marRight w:val="0"/>
          <w:marTop w:val="0"/>
          <w:marBottom w:val="0"/>
          <w:divBdr>
            <w:top w:val="none" w:sz="0" w:space="0" w:color="auto"/>
            <w:left w:val="none" w:sz="0" w:space="0" w:color="auto"/>
            <w:bottom w:val="none" w:sz="0" w:space="0" w:color="auto"/>
            <w:right w:val="none" w:sz="0" w:space="0" w:color="auto"/>
          </w:divBdr>
        </w:div>
        <w:div w:id="6032060">
          <w:marLeft w:val="0"/>
          <w:marRight w:val="0"/>
          <w:marTop w:val="0"/>
          <w:marBottom w:val="0"/>
          <w:divBdr>
            <w:top w:val="none" w:sz="0" w:space="0" w:color="auto"/>
            <w:left w:val="none" w:sz="0" w:space="0" w:color="auto"/>
            <w:bottom w:val="none" w:sz="0" w:space="0" w:color="auto"/>
            <w:right w:val="none" w:sz="0" w:space="0" w:color="auto"/>
          </w:divBdr>
        </w:div>
        <w:div w:id="1633831349">
          <w:marLeft w:val="0"/>
          <w:marRight w:val="0"/>
          <w:marTop w:val="0"/>
          <w:marBottom w:val="0"/>
          <w:divBdr>
            <w:top w:val="none" w:sz="0" w:space="0" w:color="auto"/>
            <w:left w:val="none" w:sz="0" w:space="0" w:color="auto"/>
            <w:bottom w:val="none" w:sz="0" w:space="0" w:color="auto"/>
            <w:right w:val="none" w:sz="0" w:space="0" w:color="auto"/>
          </w:divBdr>
        </w:div>
        <w:div w:id="1071468034">
          <w:marLeft w:val="0"/>
          <w:marRight w:val="0"/>
          <w:marTop w:val="0"/>
          <w:marBottom w:val="0"/>
          <w:divBdr>
            <w:top w:val="none" w:sz="0" w:space="0" w:color="auto"/>
            <w:left w:val="none" w:sz="0" w:space="0" w:color="auto"/>
            <w:bottom w:val="none" w:sz="0" w:space="0" w:color="auto"/>
            <w:right w:val="none" w:sz="0" w:space="0" w:color="auto"/>
          </w:divBdr>
        </w:div>
        <w:div w:id="867915105">
          <w:marLeft w:val="0"/>
          <w:marRight w:val="0"/>
          <w:marTop w:val="0"/>
          <w:marBottom w:val="0"/>
          <w:divBdr>
            <w:top w:val="none" w:sz="0" w:space="0" w:color="auto"/>
            <w:left w:val="none" w:sz="0" w:space="0" w:color="auto"/>
            <w:bottom w:val="none" w:sz="0" w:space="0" w:color="auto"/>
            <w:right w:val="none" w:sz="0" w:space="0" w:color="auto"/>
          </w:divBdr>
        </w:div>
        <w:div w:id="2127043690">
          <w:marLeft w:val="0"/>
          <w:marRight w:val="0"/>
          <w:marTop w:val="0"/>
          <w:marBottom w:val="0"/>
          <w:divBdr>
            <w:top w:val="none" w:sz="0" w:space="0" w:color="auto"/>
            <w:left w:val="none" w:sz="0" w:space="0" w:color="auto"/>
            <w:bottom w:val="none" w:sz="0" w:space="0" w:color="auto"/>
            <w:right w:val="none" w:sz="0" w:space="0" w:color="auto"/>
          </w:divBdr>
        </w:div>
        <w:div w:id="613513396">
          <w:marLeft w:val="0"/>
          <w:marRight w:val="0"/>
          <w:marTop w:val="0"/>
          <w:marBottom w:val="0"/>
          <w:divBdr>
            <w:top w:val="none" w:sz="0" w:space="0" w:color="auto"/>
            <w:left w:val="none" w:sz="0" w:space="0" w:color="auto"/>
            <w:bottom w:val="none" w:sz="0" w:space="0" w:color="auto"/>
            <w:right w:val="none" w:sz="0" w:space="0" w:color="auto"/>
          </w:divBdr>
        </w:div>
        <w:div w:id="913586867">
          <w:marLeft w:val="0"/>
          <w:marRight w:val="0"/>
          <w:marTop w:val="0"/>
          <w:marBottom w:val="0"/>
          <w:divBdr>
            <w:top w:val="none" w:sz="0" w:space="0" w:color="auto"/>
            <w:left w:val="none" w:sz="0" w:space="0" w:color="auto"/>
            <w:bottom w:val="none" w:sz="0" w:space="0" w:color="auto"/>
            <w:right w:val="none" w:sz="0" w:space="0" w:color="auto"/>
          </w:divBdr>
        </w:div>
        <w:div w:id="1968311039">
          <w:marLeft w:val="0"/>
          <w:marRight w:val="0"/>
          <w:marTop w:val="0"/>
          <w:marBottom w:val="0"/>
          <w:divBdr>
            <w:top w:val="none" w:sz="0" w:space="0" w:color="auto"/>
            <w:left w:val="none" w:sz="0" w:space="0" w:color="auto"/>
            <w:bottom w:val="none" w:sz="0" w:space="0" w:color="auto"/>
            <w:right w:val="none" w:sz="0" w:space="0" w:color="auto"/>
          </w:divBdr>
        </w:div>
        <w:div w:id="1752502281">
          <w:marLeft w:val="0"/>
          <w:marRight w:val="0"/>
          <w:marTop w:val="0"/>
          <w:marBottom w:val="0"/>
          <w:divBdr>
            <w:top w:val="none" w:sz="0" w:space="0" w:color="auto"/>
            <w:left w:val="none" w:sz="0" w:space="0" w:color="auto"/>
            <w:bottom w:val="none" w:sz="0" w:space="0" w:color="auto"/>
            <w:right w:val="none" w:sz="0" w:space="0" w:color="auto"/>
          </w:divBdr>
        </w:div>
        <w:div w:id="636642420">
          <w:marLeft w:val="0"/>
          <w:marRight w:val="0"/>
          <w:marTop w:val="0"/>
          <w:marBottom w:val="0"/>
          <w:divBdr>
            <w:top w:val="none" w:sz="0" w:space="0" w:color="auto"/>
            <w:left w:val="none" w:sz="0" w:space="0" w:color="auto"/>
            <w:bottom w:val="none" w:sz="0" w:space="0" w:color="auto"/>
            <w:right w:val="none" w:sz="0" w:space="0" w:color="auto"/>
          </w:divBdr>
        </w:div>
        <w:div w:id="1864443113">
          <w:marLeft w:val="0"/>
          <w:marRight w:val="0"/>
          <w:marTop w:val="0"/>
          <w:marBottom w:val="0"/>
          <w:divBdr>
            <w:top w:val="none" w:sz="0" w:space="0" w:color="auto"/>
            <w:left w:val="none" w:sz="0" w:space="0" w:color="auto"/>
            <w:bottom w:val="none" w:sz="0" w:space="0" w:color="auto"/>
            <w:right w:val="none" w:sz="0" w:space="0" w:color="auto"/>
          </w:divBdr>
        </w:div>
        <w:div w:id="422188967">
          <w:marLeft w:val="0"/>
          <w:marRight w:val="0"/>
          <w:marTop w:val="0"/>
          <w:marBottom w:val="0"/>
          <w:divBdr>
            <w:top w:val="none" w:sz="0" w:space="0" w:color="auto"/>
            <w:left w:val="none" w:sz="0" w:space="0" w:color="auto"/>
            <w:bottom w:val="none" w:sz="0" w:space="0" w:color="auto"/>
            <w:right w:val="none" w:sz="0" w:space="0" w:color="auto"/>
          </w:divBdr>
        </w:div>
        <w:div w:id="2139371388">
          <w:marLeft w:val="0"/>
          <w:marRight w:val="0"/>
          <w:marTop w:val="0"/>
          <w:marBottom w:val="0"/>
          <w:divBdr>
            <w:top w:val="none" w:sz="0" w:space="0" w:color="auto"/>
            <w:left w:val="none" w:sz="0" w:space="0" w:color="auto"/>
            <w:bottom w:val="none" w:sz="0" w:space="0" w:color="auto"/>
            <w:right w:val="none" w:sz="0" w:space="0" w:color="auto"/>
          </w:divBdr>
        </w:div>
        <w:div w:id="931551879">
          <w:marLeft w:val="0"/>
          <w:marRight w:val="0"/>
          <w:marTop w:val="0"/>
          <w:marBottom w:val="0"/>
          <w:divBdr>
            <w:top w:val="none" w:sz="0" w:space="0" w:color="auto"/>
            <w:left w:val="none" w:sz="0" w:space="0" w:color="auto"/>
            <w:bottom w:val="none" w:sz="0" w:space="0" w:color="auto"/>
            <w:right w:val="none" w:sz="0" w:space="0" w:color="auto"/>
          </w:divBdr>
        </w:div>
        <w:div w:id="503472110">
          <w:marLeft w:val="0"/>
          <w:marRight w:val="0"/>
          <w:marTop w:val="0"/>
          <w:marBottom w:val="0"/>
          <w:divBdr>
            <w:top w:val="none" w:sz="0" w:space="0" w:color="auto"/>
            <w:left w:val="none" w:sz="0" w:space="0" w:color="auto"/>
            <w:bottom w:val="none" w:sz="0" w:space="0" w:color="auto"/>
            <w:right w:val="none" w:sz="0" w:space="0" w:color="auto"/>
          </w:divBdr>
        </w:div>
        <w:div w:id="1353191065">
          <w:marLeft w:val="0"/>
          <w:marRight w:val="0"/>
          <w:marTop w:val="0"/>
          <w:marBottom w:val="0"/>
          <w:divBdr>
            <w:top w:val="none" w:sz="0" w:space="0" w:color="auto"/>
            <w:left w:val="none" w:sz="0" w:space="0" w:color="auto"/>
            <w:bottom w:val="none" w:sz="0" w:space="0" w:color="auto"/>
            <w:right w:val="none" w:sz="0" w:space="0" w:color="auto"/>
          </w:divBdr>
        </w:div>
        <w:div w:id="166403660">
          <w:marLeft w:val="0"/>
          <w:marRight w:val="0"/>
          <w:marTop w:val="0"/>
          <w:marBottom w:val="0"/>
          <w:divBdr>
            <w:top w:val="none" w:sz="0" w:space="0" w:color="auto"/>
            <w:left w:val="none" w:sz="0" w:space="0" w:color="auto"/>
            <w:bottom w:val="none" w:sz="0" w:space="0" w:color="auto"/>
            <w:right w:val="none" w:sz="0" w:space="0" w:color="auto"/>
          </w:divBdr>
        </w:div>
        <w:div w:id="1693069065">
          <w:marLeft w:val="0"/>
          <w:marRight w:val="0"/>
          <w:marTop w:val="0"/>
          <w:marBottom w:val="0"/>
          <w:divBdr>
            <w:top w:val="none" w:sz="0" w:space="0" w:color="auto"/>
            <w:left w:val="none" w:sz="0" w:space="0" w:color="auto"/>
            <w:bottom w:val="none" w:sz="0" w:space="0" w:color="auto"/>
            <w:right w:val="none" w:sz="0" w:space="0" w:color="auto"/>
          </w:divBdr>
        </w:div>
        <w:div w:id="353364">
          <w:marLeft w:val="0"/>
          <w:marRight w:val="0"/>
          <w:marTop w:val="0"/>
          <w:marBottom w:val="0"/>
          <w:divBdr>
            <w:top w:val="none" w:sz="0" w:space="0" w:color="auto"/>
            <w:left w:val="none" w:sz="0" w:space="0" w:color="auto"/>
            <w:bottom w:val="none" w:sz="0" w:space="0" w:color="auto"/>
            <w:right w:val="none" w:sz="0" w:space="0" w:color="auto"/>
          </w:divBdr>
        </w:div>
        <w:div w:id="300887749">
          <w:marLeft w:val="0"/>
          <w:marRight w:val="0"/>
          <w:marTop w:val="0"/>
          <w:marBottom w:val="0"/>
          <w:divBdr>
            <w:top w:val="none" w:sz="0" w:space="0" w:color="auto"/>
            <w:left w:val="none" w:sz="0" w:space="0" w:color="auto"/>
            <w:bottom w:val="none" w:sz="0" w:space="0" w:color="auto"/>
            <w:right w:val="none" w:sz="0" w:space="0" w:color="auto"/>
          </w:divBdr>
        </w:div>
        <w:div w:id="1569463342">
          <w:marLeft w:val="0"/>
          <w:marRight w:val="0"/>
          <w:marTop w:val="0"/>
          <w:marBottom w:val="0"/>
          <w:divBdr>
            <w:top w:val="none" w:sz="0" w:space="0" w:color="auto"/>
            <w:left w:val="none" w:sz="0" w:space="0" w:color="auto"/>
            <w:bottom w:val="none" w:sz="0" w:space="0" w:color="auto"/>
            <w:right w:val="none" w:sz="0" w:space="0" w:color="auto"/>
          </w:divBdr>
        </w:div>
        <w:div w:id="776407175">
          <w:marLeft w:val="0"/>
          <w:marRight w:val="0"/>
          <w:marTop w:val="0"/>
          <w:marBottom w:val="0"/>
          <w:divBdr>
            <w:top w:val="none" w:sz="0" w:space="0" w:color="auto"/>
            <w:left w:val="none" w:sz="0" w:space="0" w:color="auto"/>
            <w:bottom w:val="none" w:sz="0" w:space="0" w:color="auto"/>
            <w:right w:val="none" w:sz="0" w:space="0" w:color="auto"/>
          </w:divBdr>
        </w:div>
        <w:div w:id="1081178310">
          <w:marLeft w:val="0"/>
          <w:marRight w:val="0"/>
          <w:marTop w:val="0"/>
          <w:marBottom w:val="0"/>
          <w:divBdr>
            <w:top w:val="none" w:sz="0" w:space="0" w:color="auto"/>
            <w:left w:val="none" w:sz="0" w:space="0" w:color="auto"/>
            <w:bottom w:val="none" w:sz="0" w:space="0" w:color="auto"/>
            <w:right w:val="none" w:sz="0" w:space="0" w:color="auto"/>
          </w:divBdr>
        </w:div>
        <w:div w:id="2117827630">
          <w:marLeft w:val="0"/>
          <w:marRight w:val="0"/>
          <w:marTop w:val="0"/>
          <w:marBottom w:val="0"/>
          <w:divBdr>
            <w:top w:val="none" w:sz="0" w:space="0" w:color="auto"/>
            <w:left w:val="none" w:sz="0" w:space="0" w:color="auto"/>
            <w:bottom w:val="none" w:sz="0" w:space="0" w:color="auto"/>
            <w:right w:val="none" w:sz="0" w:space="0" w:color="auto"/>
          </w:divBdr>
        </w:div>
      </w:divsChild>
    </w:div>
    <w:div w:id="540559557">
      <w:bodyDiv w:val="1"/>
      <w:marLeft w:val="0"/>
      <w:marRight w:val="0"/>
      <w:marTop w:val="0"/>
      <w:marBottom w:val="0"/>
      <w:divBdr>
        <w:top w:val="none" w:sz="0" w:space="0" w:color="auto"/>
        <w:left w:val="none" w:sz="0" w:space="0" w:color="auto"/>
        <w:bottom w:val="none" w:sz="0" w:space="0" w:color="auto"/>
        <w:right w:val="none" w:sz="0" w:space="0" w:color="auto"/>
      </w:divBdr>
      <w:divsChild>
        <w:div w:id="1952740821">
          <w:marLeft w:val="0"/>
          <w:marRight w:val="0"/>
          <w:marTop w:val="0"/>
          <w:marBottom w:val="0"/>
          <w:divBdr>
            <w:top w:val="none" w:sz="0" w:space="0" w:color="auto"/>
            <w:left w:val="none" w:sz="0" w:space="0" w:color="auto"/>
            <w:bottom w:val="none" w:sz="0" w:space="0" w:color="auto"/>
            <w:right w:val="none" w:sz="0" w:space="0" w:color="auto"/>
          </w:divBdr>
        </w:div>
      </w:divsChild>
    </w:div>
    <w:div w:id="795677414">
      <w:bodyDiv w:val="1"/>
      <w:marLeft w:val="0"/>
      <w:marRight w:val="0"/>
      <w:marTop w:val="0"/>
      <w:marBottom w:val="0"/>
      <w:divBdr>
        <w:top w:val="none" w:sz="0" w:space="0" w:color="auto"/>
        <w:left w:val="none" w:sz="0" w:space="0" w:color="auto"/>
        <w:bottom w:val="none" w:sz="0" w:space="0" w:color="auto"/>
        <w:right w:val="none" w:sz="0" w:space="0" w:color="auto"/>
      </w:divBdr>
      <w:divsChild>
        <w:div w:id="898132620">
          <w:marLeft w:val="0"/>
          <w:marRight w:val="0"/>
          <w:marTop w:val="0"/>
          <w:marBottom w:val="0"/>
          <w:divBdr>
            <w:top w:val="none" w:sz="0" w:space="0" w:color="auto"/>
            <w:left w:val="none" w:sz="0" w:space="0" w:color="auto"/>
            <w:bottom w:val="none" w:sz="0" w:space="0" w:color="auto"/>
            <w:right w:val="none" w:sz="0" w:space="0" w:color="auto"/>
          </w:divBdr>
        </w:div>
        <w:div w:id="749934899">
          <w:marLeft w:val="0"/>
          <w:marRight w:val="0"/>
          <w:marTop w:val="0"/>
          <w:marBottom w:val="0"/>
          <w:divBdr>
            <w:top w:val="none" w:sz="0" w:space="0" w:color="auto"/>
            <w:left w:val="none" w:sz="0" w:space="0" w:color="auto"/>
            <w:bottom w:val="none" w:sz="0" w:space="0" w:color="auto"/>
            <w:right w:val="none" w:sz="0" w:space="0" w:color="auto"/>
          </w:divBdr>
        </w:div>
        <w:div w:id="1496649785">
          <w:marLeft w:val="0"/>
          <w:marRight w:val="0"/>
          <w:marTop w:val="0"/>
          <w:marBottom w:val="0"/>
          <w:divBdr>
            <w:top w:val="none" w:sz="0" w:space="0" w:color="auto"/>
            <w:left w:val="none" w:sz="0" w:space="0" w:color="auto"/>
            <w:bottom w:val="none" w:sz="0" w:space="0" w:color="auto"/>
            <w:right w:val="none" w:sz="0" w:space="0" w:color="auto"/>
          </w:divBdr>
        </w:div>
        <w:div w:id="1539660262">
          <w:marLeft w:val="0"/>
          <w:marRight w:val="0"/>
          <w:marTop w:val="0"/>
          <w:marBottom w:val="0"/>
          <w:divBdr>
            <w:top w:val="none" w:sz="0" w:space="0" w:color="auto"/>
            <w:left w:val="none" w:sz="0" w:space="0" w:color="auto"/>
            <w:bottom w:val="none" w:sz="0" w:space="0" w:color="auto"/>
            <w:right w:val="none" w:sz="0" w:space="0" w:color="auto"/>
          </w:divBdr>
        </w:div>
        <w:div w:id="2145151409">
          <w:marLeft w:val="0"/>
          <w:marRight w:val="0"/>
          <w:marTop w:val="0"/>
          <w:marBottom w:val="0"/>
          <w:divBdr>
            <w:top w:val="none" w:sz="0" w:space="0" w:color="auto"/>
            <w:left w:val="none" w:sz="0" w:space="0" w:color="auto"/>
            <w:bottom w:val="none" w:sz="0" w:space="0" w:color="auto"/>
            <w:right w:val="none" w:sz="0" w:space="0" w:color="auto"/>
          </w:divBdr>
        </w:div>
        <w:div w:id="1312902781">
          <w:marLeft w:val="0"/>
          <w:marRight w:val="0"/>
          <w:marTop w:val="0"/>
          <w:marBottom w:val="0"/>
          <w:divBdr>
            <w:top w:val="none" w:sz="0" w:space="0" w:color="auto"/>
            <w:left w:val="none" w:sz="0" w:space="0" w:color="auto"/>
            <w:bottom w:val="none" w:sz="0" w:space="0" w:color="auto"/>
            <w:right w:val="none" w:sz="0" w:space="0" w:color="auto"/>
          </w:divBdr>
        </w:div>
        <w:div w:id="580221201">
          <w:marLeft w:val="0"/>
          <w:marRight w:val="0"/>
          <w:marTop w:val="0"/>
          <w:marBottom w:val="0"/>
          <w:divBdr>
            <w:top w:val="none" w:sz="0" w:space="0" w:color="auto"/>
            <w:left w:val="none" w:sz="0" w:space="0" w:color="auto"/>
            <w:bottom w:val="none" w:sz="0" w:space="0" w:color="auto"/>
            <w:right w:val="none" w:sz="0" w:space="0" w:color="auto"/>
          </w:divBdr>
        </w:div>
      </w:divsChild>
    </w:div>
    <w:div w:id="1947805625">
      <w:bodyDiv w:val="1"/>
      <w:marLeft w:val="0"/>
      <w:marRight w:val="0"/>
      <w:marTop w:val="0"/>
      <w:marBottom w:val="0"/>
      <w:divBdr>
        <w:top w:val="none" w:sz="0" w:space="0" w:color="auto"/>
        <w:left w:val="none" w:sz="0" w:space="0" w:color="auto"/>
        <w:bottom w:val="none" w:sz="0" w:space="0" w:color="auto"/>
        <w:right w:val="none" w:sz="0" w:space="0" w:color="auto"/>
      </w:divBdr>
      <w:divsChild>
        <w:div w:id="733968305">
          <w:marLeft w:val="0"/>
          <w:marRight w:val="0"/>
          <w:marTop w:val="0"/>
          <w:marBottom w:val="160"/>
          <w:divBdr>
            <w:top w:val="none" w:sz="0" w:space="0" w:color="auto"/>
            <w:left w:val="none" w:sz="0" w:space="0" w:color="auto"/>
            <w:bottom w:val="none" w:sz="0" w:space="0" w:color="auto"/>
            <w:right w:val="none" w:sz="0" w:space="0" w:color="auto"/>
          </w:divBdr>
        </w:div>
        <w:div w:id="1737128012">
          <w:marLeft w:val="0"/>
          <w:marRight w:val="0"/>
          <w:marTop w:val="0"/>
          <w:marBottom w:val="160"/>
          <w:divBdr>
            <w:top w:val="none" w:sz="0" w:space="0" w:color="auto"/>
            <w:left w:val="none" w:sz="0" w:space="0" w:color="auto"/>
            <w:bottom w:val="none" w:sz="0" w:space="0" w:color="auto"/>
            <w:right w:val="none" w:sz="0" w:space="0" w:color="auto"/>
          </w:divBdr>
        </w:div>
        <w:div w:id="652639112">
          <w:marLeft w:val="0"/>
          <w:marRight w:val="0"/>
          <w:marTop w:val="0"/>
          <w:marBottom w:val="160"/>
          <w:divBdr>
            <w:top w:val="none" w:sz="0" w:space="0" w:color="auto"/>
            <w:left w:val="none" w:sz="0" w:space="0" w:color="auto"/>
            <w:bottom w:val="none" w:sz="0" w:space="0" w:color="auto"/>
            <w:right w:val="none" w:sz="0" w:space="0" w:color="auto"/>
          </w:divBdr>
        </w:div>
        <w:div w:id="770587129">
          <w:marLeft w:val="0"/>
          <w:marRight w:val="0"/>
          <w:marTop w:val="0"/>
          <w:marBottom w:val="160"/>
          <w:divBdr>
            <w:top w:val="none" w:sz="0" w:space="0" w:color="auto"/>
            <w:left w:val="none" w:sz="0" w:space="0" w:color="auto"/>
            <w:bottom w:val="none" w:sz="0" w:space="0" w:color="auto"/>
            <w:right w:val="none" w:sz="0" w:space="0" w:color="auto"/>
          </w:divBdr>
        </w:div>
      </w:divsChild>
    </w:div>
    <w:div w:id="21054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nto@casecon.com" TargetMode="External"/><Relationship Id="rId4" Type="http://schemas.openxmlformats.org/officeDocument/2006/relationships/settings" Target="settings.xml"/><Relationship Id="rId9" Type="http://schemas.openxmlformats.org/officeDocument/2006/relationships/hyperlink" Target="mailto:cento@casecon.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eu/rapid/press-release_MEMO-09-143_en.htm" TargetMode="External"/><Relationship Id="rId1" Type="http://schemas.openxmlformats.org/officeDocument/2006/relationships/hyperlink" Target="mailto:cento@cas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4977D-7B92-4D7F-B2FD-79C35E6A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Veljanovski</dc:creator>
  <cp:lastModifiedBy>C Veljanovski</cp:lastModifiedBy>
  <cp:revision>11</cp:revision>
  <cp:lastPrinted>2019-04-29T09:48:00Z</cp:lastPrinted>
  <dcterms:created xsi:type="dcterms:W3CDTF">2019-05-11T10:03:00Z</dcterms:created>
  <dcterms:modified xsi:type="dcterms:W3CDTF">2019-10-08T14:16:00Z</dcterms:modified>
</cp:coreProperties>
</file>